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3.png" ContentType="image/png"/>
  <Override PartName="/word/media/rId36.png" ContentType="image/png"/>
  <Override PartName="/word/media/rId31.png" ContentType="image/png"/>
  <Override PartName="/word/media/rId64.png" ContentType="image/png"/>
  <Override PartName="/word/media/rId111.png" ContentType="image/png"/>
  <Override PartName="/word/media/rId103.png" ContentType="image/png"/>
  <Override PartName="/word/media/rId94.png" ContentType="image/png"/>
  <Override PartName="/word/media/rId52.png" ContentType="image/png"/>
  <Override PartName="/word/media/rId58.png" ContentType="image/png"/>
  <Override PartName="/word/media/rId72.png" ContentType="image/png"/>
  <Override PartName="/word/media/rId7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January 16,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bookmarkStart w:id="23" w:name="X99da63aa699959cc63873e03e4566d9ffdf519a"/>
    <w:p>
      <w:pPr>
        <w:pStyle w:val="Heading3"/>
      </w:pPr>
      <w:r>
        <w:t xml:space="preserve">1.2.1 Measures and general patterns of sprout development over time</w:t>
      </w:r>
    </w:p>
    <w:p>
      <w:pPr>
        <w:pStyle w:val="FirstParagraph"/>
      </w:pPr>
      <w:r>
        <w:t xml:space="preserve">Tree sprouting response following cutting is commonly characterized by presence</w:t>
      </w:r>
      <w:r>
        <w:t xml:space="preserve"> </w:t>
      </w:r>
      <w:r>
        <w:t xml:space="preserve">(percent stumps sprouting), abundance (sprout density), and size (height and</w:t>
      </w:r>
      <w:r>
        <w:t xml:space="preserve"> </w:t>
      </w:r>
      <w:r>
        <w:t xml:space="preserve">diameter). Interpretation of these metrics depends on the time between treatment</w:t>
      </w:r>
      <w:r>
        <w:t xml:space="preserve"> </w:t>
      </w:r>
      <w:r>
        <w:t xml:space="preserve">and measurement, as early sprout growth is largely driven by mobilization of</w:t>
      </w:r>
      <w:r>
        <w:t xml:space="preserve"> </w:t>
      </w:r>
      <w:r>
        <w:t xml:space="preserve">carbohydrates stored in the parent stem and root system</w:t>
      </w:r>
      <w:r>
        <w:t xml:space="preserve"> </w:t>
      </w:r>
      <w:r>
        <w:t xml:space="preserve">(Del Tredici, 2001)</w:t>
      </w:r>
      <w:r>
        <w:t xml:space="preserve">. As a result, differences associated</w:t>
      </w:r>
      <w:r>
        <w:t xml:space="preserve"> </w:t>
      </w:r>
      <w:r>
        <w:t xml:space="preserve">with external conditions may not be evident early in development. Redwood sprout</w:t>
      </w:r>
      <w:r>
        <w:t xml:space="preserve"> </w:t>
      </w:r>
      <w:r>
        <w:t xml:space="preserve">clumps may consist of more than 100 stems in the first year after cutting</w:t>
      </w:r>
      <w:r>
        <w:t xml:space="preserve"> </w:t>
      </w:r>
      <w:r>
        <w:t xml:space="preserve">(Neal, 1967)</w:t>
      </w:r>
      <w:r>
        <w:t xml:space="preserve">, but rapidly self-thin, particularly under</w:t>
      </w:r>
      <w:r>
        <w:t xml:space="preserve"> </w:t>
      </w:r>
      <w:r>
        <w:t xml:space="preserve">high light conditions</w:t>
      </w:r>
      <w:r>
        <w:t xml:space="preserve"> </w:t>
      </w:r>
      <w:r>
        <w:t xml:space="preserve">(Boe, 1975)</w:t>
      </w:r>
      <w:r>
        <w:t xml:space="preserve">. Under overstory</w:t>
      </w:r>
      <w:r>
        <w:t xml:space="preserve"> </w:t>
      </w:r>
      <w:r>
        <w:t xml:space="preserve">competition, self-thinning may proceed more rapidly and can result in mortality</w:t>
      </w:r>
      <w:r>
        <w:t xml:space="preserve"> </w:t>
      </w:r>
      <w:r>
        <w:t xml:space="preserve">of entire sprout clumps</w:t>
      </w:r>
      <w:r>
        <w:t xml:space="preserve"> </w:t>
      </w:r>
      <w:r>
        <w:t xml:space="preserve">(O’Hara &amp; Berrill, 2010)</w:t>
      </w:r>
      <w:r>
        <w:t xml:space="preserve">. In contrast to eastern</w:t>
      </w:r>
      <w:r>
        <w:t xml:space="preserve"> </w:t>
      </w:r>
      <w:r>
        <w:t xml:space="preserve">hardwoods, where self-thinning typically occurs over decades</w:t>
      </w:r>
      <w:r>
        <w:t xml:space="preserve"> </w:t>
      </w:r>
      <w:r>
        <w:t xml:space="preserve">(Gould et al., 2007)</w:t>
      </w:r>
      <w:r>
        <w:t xml:space="preserve">, this process may extend for centuries in</w:t>
      </w:r>
      <w:r>
        <w:t xml:space="preserve"> </w:t>
      </w:r>
      <w:r>
        <w:t xml:space="preserve">long-lived redwoods</w:t>
      </w:r>
      <w:r>
        <w:t xml:space="preserve"> </w:t>
      </w:r>
      <w:r>
        <w:t xml:space="preserve">(O’Hara et al., 2017)</w:t>
      </w:r>
      <w:r>
        <w:t xml:space="preserve">.</w:t>
      </w:r>
    </w:p>
    <w:p>
      <w:pPr>
        <w:pStyle w:val="BodyText"/>
      </w:pPr>
      <w:r>
        <w:t xml:space="preserve">Because percent sprouting, sprout density, and sprout size represent distinct</w:t>
      </w:r>
      <w:r>
        <w:t xml:space="preserve"> </w:t>
      </w:r>
      <w:r>
        <w:t xml:space="preserve">aspects of sprouting response, they vary with species, site characteristics,</w:t>
      </w:r>
      <w:r>
        <w:t xml:space="preserve"> </w:t>
      </w:r>
      <w:r>
        <w:t xml:space="preserve">overstory density, parent stump size or age, and geographic context. Even when</w:t>
      </w:r>
      <w:r>
        <w:t xml:space="preserve"> </w:t>
      </w:r>
      <w:r>
        <w:t xml:space="preserve">these factors are considered, substantial unexplained variation among sites may</w:t>
      </w:r>
      <w:r>
        <w:t xml:space="preserve"> </w:t>
      </w:r>
      <w:r>
        <w:t xml:space="preserve">remain</w:t>
      </w:r>
      <w:r>
        <w:t xml:space="preserve"> </w:t>
      </w:r>
      <w:r>
        <w:t xml:space="preserve">(Keyser &amp; Loftis, 2015; Nieves et al., 2022)</w:t>
      </w:r>
      <w:r>
        <w:t xml:space="preserve">.</w:t>
      </w:r>
    </w:p>
    <w:bookmarkEnd w:id="23"/>
    <w:bookmarkStart w:id="24" w:name="Xaf89d4097b8df30cece9e62c4a85d29d09ac2fc"/>
    <w:p>
      <w:pPr>
        <w:pStyle w:val="Heading3"/>
      </w:pPr>
      <w:r>
        <w:t xml:space="preserve">1.2.2 Factors influencing initial sprout response</w:t>
      </w:r>
    </w:p>
    <w:p>
      <w:pPr>
        <w:pStyle w:val="FirstParagraph"/>
      </w:pPr>
      <w:r>
        <w:t xml:space="preserve">Across many sprouting species, the proportion of stumps that sprout following</w:t>
      </w:r>
      <w:r>
        <w:t xml:space="preserve"> </w:t>
      </w:r>
      <w:r>
        <w:t xml:space="preserve">cutting often declines with increasing tree size or age, although this pattern</w:t>
      </w:r>
      <w:r>
        <w:t xml:space="preserve"> </w:t>
      </w:r>
      <w:r>
        <w:t xml:space="preserve">varies by species and site conditions</w:t>
      </w:r>
      <w:r>
        <w:t xml:space="preserve"> </w:t>
      </w:r>
      <w:r>
        <w:t xml:space="preserve">(Johnson, 1977; Nieves et al., 2022)</w:t>
      </w:r>
      <w:r>
        <w:t xml:space="preserve">. In</w:t>
      </w:r>
      <w:r>
        <w:t xml:space="preserve"> </w:t>
      </w:r>
      <w:r>
        <w:t xml:space="preserve">redwoods, evidence for declining percent sprouting with increasing size or age</w:t>
      </w:r>
      <w:r>
        <w:t xml:space="preserve"> </w:t>
      </w:r>
      <w:r>
        <w:t xml:space="preserve">is mixed</w:t>
      </w:r>
      <w:r>
        <w:t xml:space="preserve"> </w:t>
      </w:r>
      <w:r>
        <w:t xml:space="preserve">(Barrette, 1966; Lindquist, 1979; Neal, 1967; Wiant &amp; Powers, 1967)</w:t>
      </w:r>
      <w:r>
        <w:t xml:space="preserve">, potentially reflecting the wide range of</w:t>
      </w:r>
      <w:r>
        <w:t xml:space="preserve"> </w:t>
      </w:r>
      <w:r>
        <w:t xml:space="preserve">tree sizes and ages present in these forests. Some studies suggest that percent</w:t>
      </w:r>
      <w:r>
        <w:t xml:space="preserve"> </w:t>
      </w:r>
      <w:r>
        <w:t xml:space="preserve">sprouting may increase with age to a threshold and decline in trees older than</w:t>
      </w:r>
      <w:r>
        <w:t xml:space="preserve"> </w:t>
      </w:r>
      <w:r>
        <w:t xml:space="preserve">approximately 200–400 years</w:t>
      </w:r>
      <w:r>
        <w:t xml:space="preserve"> </w:t>
      </w:r>
      <w:r>
        <w:t xml:space="preserve">(O’Hara et al., 2007; Powers &amp; Wiant, 1970)</w:t>
      </w:r>
      <w:r>
        <w:t xml:space="preserve">.</w:t>
      </w:r>
    </w:p>
    <w:p>
      <w:pPr>
        <w:pStyle w:val="BodyText"/>
      </w:pPr>
      <w:r>
        <w:t xml:space="preserve">After cutting, 90–100% of second-growth redwoods (&lt; 90 cm dbh) typically sprout</w:t>
      </w:r>
      <w:r>
        <w:t xml:space="preserve"> </w:t>
      </w:r>
      <w:r>
        <w:t xml:space="preserve">(Barrette, 1966; Lindquist, 1979)</w:t>
      </w:r>
      <w:r>
        <w:t xml:space="preserve">, whereas sprouting among larger,</w:t>
      </w:r>
      <w:r>
        <w:t xml:space="preserve"> </w:t>
      </w:r>
      <w:r>
        <w:t xml:space="preserve">older redwoods may approach 50%</w:t>
      </w:r>
      <w:r>
        <w:t xml:space="preserve"> </w:t>
      </w:r>
      <w:r>
        <w:t xml:space="preserve">(Boe, 1975; Neal, 1967)</w:t>
      </w:r>
      <w:r>
        <w:t xml:space="preserve">. Declining sprouting with increasing size has</w:t>
      </w:r>
      <w:r>
        <w:t xml:space="preserve"> </w:t>
      </w:r>
      <w:r>
        <w:t xml:space="preserve">also been documented in tanoak and other coastal hardwoods</w:t>
      </w:r>
      <w:r>
        <w:t xml:space="preserve"> </w:t>
      </w:r>
      <w:r>
        <w:t xml:space="preserve">(Harrington et al., 1992)</w:t>
      </w:r>
      <w:r>
        <w:t xml:space="preserve">.</w:t>
      </w:r>
    </w:p>
    <w:p>
      <w:pPr>
        <w:pStyle w:val="BodyText"/>
      </w:pPr>
      <w:r>
        <w:t xml:space="preserve">Residual overstory density may influence percent sprouting in some species and</w:t>
      </w:r>
      <w:r>
        <w:t xml:space="preserve"> </w:t>
      </w:r>
      <w:r>
        <w:t xml:space="preserve">regions, but evidence for this effect is inconsistent and sensitive to study</w:t>
      </w:r>
      <w:r>
        <w:t xml:space="preserve"> </w:t>
      </w:r>
      <w:r>
        <w:t xml:space="preserve">design</w:t>
      </w:r>
      <w:r>
        <w:t xml:space="preserve"> </w:t>
      </w:r>
      <w:r>
        <w:t xml:space="preserve">(Nieves et al., 2022)</w:t>
      </w:r>
      <w:r>
        <w:t xml:space="preserve">. In redwood forests, this effect is</w:t>
      </w:r>
      <w:r>
        <w:t xml:space="preserve"> </w:t>
      </w:r>
      <w:r>
        <w:t xml:space="preserve">generally weak or absent</w:t>
      </w:r>
      <w:r>
        <w:t xml:space="preserve"> </w:t>
      </w:r>
      <w:r>
        <w:t xml:space="preserve">(Barrett, 1988; Lindquist, 1979)</w:t>
      </w:r>
      <w:r>
        <w:t xml:space="preserve">. The number of sprouts produced per stump is also</w:t>
      </w:r>
      <w:r>
        <w:t xml:space="preserve"> </w:t>
      </w:r>
      <w:r>
        <w:t xml:space="preserve">typically unrelated to overstory density</w:t>
      </w:r>
      <w:r>
        <w:t xml:space="preserve"> </w:t>
      </w:r>
      <w:r>
        <w:t xml:space="preserve">(Atwood et al., 2009; Knapp et al., 2017)</w:t>
      </w:r>
      <w:r>
        <w:t xml:space="preserve">, and is</w:t>
      </w:r>
      <w:r>
        <w:t xml:space="preserve"> </w:t>
      </w:r>
      <w:r>
        <w:t xml:space="preserve">assumed to follow a similar pattern in redwood forests</w:t>
      </w:r>
      <w:r>
        <w:t xml:space="preserve"> </w:t>
      </w:r>
      <w:r>
        <w:t xml:space="preserve">(Lindquist, 1979; O’Hara &amp; Berrill, 2010)</w:t>
      </w:r>
      <w:r>
        <w:t xml:space="preserve">.</w:t>
      </w:r>
    </w:p>
    <w:bookmarkEnd w:id="24"/>
    <w:bookmarkStart w:id="25" w:name="Xf9a8a6a170a6253fff33822f540c76dcf2e87f8"/>
    <w:p>
      <w:pPr>
        <w:pStyle w:val="Heading3"/>
      </w:pPr>
      <w:r>
        <w:t xml:space="preserve">1.2.3 Internal and external factors influencing sprout development over time</w:t>
      </w:r>
    </w:p>
    <w:p>
      <w:pPr>
        <w:pStyle w:val="FirstParagraph"/>
      </w:pPr>
      <w:r>
        <w:t xml:space="preserve">Over time, sprout growth and survival are strongly influenced by competitive</w:t>
      </w:r>
      <w:r>
        <w:t xml:space="preserve"> </w:t>
      </w:r>
      <w:r>
        <w:t xml:space="preserve">conditions. Among sprouting species, sprout growth generally increases with</w:t>
      </w:r>
      <w:r>
        <w:t xml:space="preserve"> </w:t>
      </w:r>
      <w:r>
        <w:t xml:space="preserve">understory light availability</w:t>
      </w:r>
      <w:r>
        <w:t xml:space="preserve"> </w:t>
      </w:r>
      <w:r>
        <w:t xml:space="preserve">(Gardiner &amp; Helmig, 1997; Keyser &amp; Zarnoch, 2014; Knapp et al., 2017)</w:t>
      </w:r>
      <w:r>
        <w:t xml:space="preserve">, although the influence of light is weakest</w:t>
      </w:r>
      <w:r>
        <w:t xml:space="preserve"> </w:t>
      </w:r>
      <w:r>
        <w:t xml:space="preserve">early in development, when growth is dominated by stored carbohydrates</w:t>
      </w:r>
      <w:r>
        <w:t xml:space="preserve"> </w:t>
      </w:r>
      <w:r>
        <w:t xml:space="preserve">(Gardiner &amp; Helmig, 1997; Keyser &amp; Loftis, 2015)</w:t>
      </w:r>
      <w:r>
        <w:t xml:space="preserve">. Despite its shade tolerance, redwood requires</w:t>
      </w:r>
      <w:r>
        <w:t xml:space="preserve"> </w:t>
      </w:r>
      <w:r>
        <w:t xml:space="preserve">a minimum light threshold to sustain sprout growth</w:t>
      </w:r>
      <w:r>
        <w:t xml:space="preserve"> </w:t>
      </w:r>
      <w:r>
        <w:t xml:space="preserve">(O’Hara &amp; Berrill, 2010)</w:t>
      </w:r>
      <w:r>
        <w:t xml:space="preserve">.</w:t>
      </w:r>
    </w:p>
    <w:p>
      <w:pPr>
        <w:pStyle w:val="BodyText"/>
      </w:pPr>
      <w:r>
        <w:t xml:space="preserve">Sprout growth is also positively related to stump diameter, with larger stumps</w:t>
      </w:r>
      <w:r>
        <w:t xml:space="preserve"> </w:t>
      </w:r>
      <w:r>
        <w:t xml:space="preserve">producing faster-growing sprouts, a pattern observed in redwood</w:t>
      </w:r>
      <w:r>
        <w:t xml:space="preserve"> </w:t>
      </w:r>
      <w:r>
        <w:t xml:space="preserve">(Berrill et al., 2018)</w:t>
      </w:r>
      <w:r>
        <w:t xml:space="preserve">, tanoak</w:t>
      </w:r>
      <w:r>
        <w:t xml:space="preserve"> </w:t>
      </w:r>
      <w:r>
        <w:t xml:space="preserve">(Harrington et al., 1992)</w:t>
      </w:r>
      <w:r>
        <w:t xml:space="preserve">, and eastern hardwoods</w:t>
      </w:r>
      <w:r>
        <w:t xml:space="preserve"> </w:t>
      </w:r>
      <w:r>
        <w:t xml:space="preserve">(Dey et al., 1996; Keyser &amp; Loftis, 2015)</w:t>
      </w:r>
      <w:r>
        <w:t xml:space="preserve">. Survival of sprouts in subsequent years depends on</w:t>
      </w:r>
      <w:r>
        <w:t xml:space="preserve"> </w:t>
      </w:r>
      <w:r>
        <w:t xml:space="preserve">overstory density and competitive pressure, particularly as stands approach</w:t>
      </w:r>
      <w:r>
        <w:t xml:space="preserve"> </w:t>
      </w:r>
      <w:r>
        <w:t xml:space="preserve">canopy closure. Entire sprout clumps may experience rapid mortality under</w:t>
      </w:r>
      <w:r>
        <w:t xml:space="preserve"> </w:t>
      </w:r>
      <w:r>
        <w:t xml:space="preserve">low-light conditions</w:t>
      </w:r>
      <w:r>
        <w:t xml:space="preserve"> </w:t>
      </w:r>
      <w:r>
        <w:t xml:space="preserve">(O’Hara &amp; Berrill, 2010)</w:t>
      </w:r>
      <w:r>
        <w:t xml:space="preserve">. Longer-term sprout</w:t>
      </w:r>
      <w:r>
        <w:t xml:space="preserve"> </w:t>
      </w:r>
      <w:r>
        <w:t xml:space="preserve">persistence has also been shown to vary with site and regional factors</w:t>
      </w:r>
      <w:r>
        <w:t xml:space="preserve"> </w:t>
      </w:r>
      <w:r>
        <w:t xml:space="preserve">(Keyser &amp; Loftis, 2015; Nieves et al., 2022)</w:t>
      </w:r>
      <w:r>
        <w:t xml:space="preserve">, although these influences have not been well</w:t>
      </w:r>
      <w:r>
        <w:t xml:space="preserve"> </w:t>
      </w:r>
      <w:r>
        <w:t xml:space="preserve">quantified in redwood forests.</w:t>
      </w:r>
    </w:p>
    <w:p>
      <w:pPr>
        <w:pStyle w:val="BodyText"/>
      </w:pPr>
      <w:r>
        <w:t xml:space="preserve">Due to rapid early growth, sprouting species can influence the composition of</w:t>
      </w:r>
      <w:r>
        <w:t xml:space="preserve"> </w:t>
      </w:r>
      <w:r>
        <w:t xml:space="preserve">regenerating stands</w:t>
      </w:r>
      <w:r>
        <w:t xml:space="preserve"> </w:t>
      </w:r>
      <w:r>
        <w:t xml:space="preserve">(Del Tredici, 2001)</w:t>
      </w:r>
      <w:r>
        <w:t xml:space="preserve">, sometimes favoring</w:t>
      </w:r>
      <w:r>
        <w:t xml:space="preserve"> </w:t>
      </w:r>
      <w:r>
        <w:t xml:space="preserve">less desirable species</w:t>
      </w:r>
      <w:r>
        <w:t xml:space="preserve"> </w:t>
      </w:r>
      <w:r>
        <w:t xml:space="preserve">(Keyser &amp; Zarnoch, 2014)</w:t>
      </w:r>
      <w:r>
        <w:t xml:space="preserve">. In redwood ecosystems,</w:t>
      </w:r>
      <w:r>
        <w:t xml:space="preserve"> </w:t>
      </w:r>
      <w:r>
        <w:t xml:space="preserve">redwood sprouts typically outgrow tanoak stump sprouts during the first five</w:t>
      </w:r>
      <w:r>
        <w:t xml:space="preserve"> </w:t>
      </w:r>
      <w:r>
        <w:t xml:space="preserve">years following partial harvest</w:t>
      </w:r>
      <w:r>
        <w:t xml:space="preserve"> </w:t>
      </w:r>
      <w:r>
        <w:t xml:space="preserve">(Muma et al., 2022)</w:t>
      </w:r>
      <w:r>
        <w:t xml:space="preserve">, though the</w:t>
      </w:r>
      <w:r>
        <w:t xml:space="preserve"> </w:t>
      </w:r>
      <w:r>
        <w:t xml:space="preserve">longer-term implications of these dynamics for stand development remain</w:t>
      </w:r>
      <w:r>
        <w:t xml:space="preserve"> </w:t>
      </w:r>
      <w:r>
        <w:t xml:space="preserve">uncertain</w:t>
      </w:r>
      <w:r>
        <w:t xml:space="preserve"> </w:t>
      </w:r>
      <w:r>
        <w:t xml:space="preserve">(Berrill et al., 2018)</w:t>
      </w:r>
      <w:r>
        <w:t xml:space="preserve">. Additional disturbance</w:t>
      </w:r>
      <w:r>
        <w:t xml:space="preserve"> </w:t>
      </w:r>
      <w:r>
        <w:t xml:space="preserve">interactions, including herbivory and wildlife damage, may further influence</w:t>
      </w:r>
      <w:r>
        <w:t xml:space="preserve"> </w:t>
      </w:r>
      <w:r>
        <w:t xml:space="preserve">sprout development and species composition</w:t>
      </w:r>
      <w:r>
        <w:t xml:space="preserve"> </w:t>
      </w:r>
      <w:r>
        <w:t xml:space="preserve">(Berrill et al., 2017; Dagley et al., 2018; Schneider et al., 2023; Wilkinson et al., 1997)</w:t>
      </w:r>
      <w:r>
        <w:t xml:space="preserve">.</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can be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49"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density using an assumed upper stand density index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PCT</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diameter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the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not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48"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rPr>
          <w:rStyle w:val="VerbatimChar"/>
        </w:rPr>
        <w:t xml:space="preserve">https://fisher-j.github.io/multi-age</w:t>
      </w:r>
      <w:r>
        <w:t xml:space="preserve">. All response variables were analyzed</w:t>
      </w:r>
      <w:r>
        <w:t xml:space="preserve"> </w:t>
      </w:r>
      <w:r>
        <w:t xml:space="preserve">using multi-level models to account for the inherent nesting structure of the</w:t>
      </w:r>
      <w:r>
        <w:t xml:space="preserve"> </w:t>
      </w:r>
      <w:r>
        <w:t xml:space="preserve">data, 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If including a grouping level resulted in</w:t>
      </w:r>
      <w:r>
        <w:t xml:space="preserve"> </w:t>
      </w:r>
      <w:r>
        <w:t xml:space="preserve">a meaningful change in estimates or confidence intervals, the grouping level was</w:t>
      </w:r>
      <w:r>
        <w:t xml:space="preserve"> </w:t>
      </w:r>
      <w:r>
        <w:t xml:space="preserve">kept.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bookmarkStart w:id="45" w:name="regeneration-1"/>
    <w:p>
      <w:pPr>
        <w:pStyle w:val="Heading3"/>
      </w:pPr>
      <w:r>
        <w:t xml:space="preserve">2.4.1 Regeneration</w:t>
      </w:r>
    </w:p>
    <w:p>
      <w:pPr>
        <w:pStyle w:val="FirstParagraph"/>
      </w:pPr>
      <w:r>
        <w:t xml:space="preserve">Sprout count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(i.e.,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5"/>
    <w:bookmarkStart w:id="46"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6"/>
    <w:bookmarkStart w:id="47"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47"/>
    <w:bookmarkEnd w:id="48"/>
    <w:bookmarkEnd w:id="49"/>
    <w:bookmarkStart w:id="117" w:name="results"/>
    <w:p>
      <w:pPr>
        <w:pStyle w:val="Heading1"/>
      </w:pPr>
      <w:r>
        <w:t xml:space="preserve">3. Results</w:t>
      </w:r>
    </w:p>
    <w:p>
      <w:pPr>
        <w:pStyle w:val="FirstParagraph"/>
      </w:pPr>
      <w:r>
        <w:t xml:space="preserve">The formulas below use</w:t>
      </w:r>
      <w:r>
        <w:t xml:space="preserve"> </w:t>
      </w:r>
      <m:oMath>
        <m:r>
          <m:t>β</m:t>
        </m:r>
      </m:oMath>
      <w:r>
        <w:t xml:space="preserve"> </w:t>
      </w:r>
      <w:r>
        <w:t xml:space="preserve">to represent fixed effects and</w:t>
      </w:r>
      <w:r>
        <w:t xml:space="preserve"> </w:t>
      </w:r>
      <m:oMath>
        <m:r>
          <m:t>α</m:t>
        </m:r>
      </m:oMath>
      <w:r>
        <w:t xml:space="preserve"> </w:t>
      </w:r>
      <w:r>
        <w:t xml:space="preserve">to</w:t>
      </w:r>
      <w:r>
        <w:t xml:space="preserve"> </w:t>
      </w:r>
      <w:r>
        <w:t xml:space="preserve">represent random effects. Subscripts indicate the variable associated with each</w:t>
      </w:r>
      <w:r>
        <w:t xml:space="preserve"> </w:t>
      </w:r>
      <w:r>
        <w:t xml:space="preserve">effect. Superscripted Greek letters indicate the model component where fixed or</w:t>
      </w:r>
      <w:r>
        <w:t xml:space="preserve"> </w:t>
      </w:r>
      <w:r>
        <w:t xml:space="preserve">random effects are present in more than one component (e.g.,</w:t>
      </w:r>
      <w:r>
        <w:t xml:space="preserve"> </w:t>
      </w:r>
      <m:oMath>
        <m:r>
          <m:t>μ</m:t>
        </m:r>
      </m:oMath>
      <w:r>
        <w:t xml:space="preserve"> </w:t>
      </w:r>
      <w:r>
        <w:t xml:space="preserve">for the</w:t>
      </w:r>
      <w:r>
        <w:t xml:space="preserve"> </w:t>
      </w:r>
      <w:r>
        <w:t xml:space="preserve">conditional model,</w:t>
      </w:r>
      <w:r>
        <w:t xml:space="preserve"> </w:t>
      </w:r>
      <m:oMath>
        <m:r>
          <m:t>π</m:t>
        </m:r>
      </m:oMath>
      <w:r>
        <w:t xml:space="preserve"> </w:t>
      </w:r>
      <w:r>
        <w:t xml:space="preserve">for the hurdle model, and</w:t>
      </w:r>
      <w:r>
        <w:t xml:space="preserve"> </w:t>
      </w:r>
      <m:oMath>
        <m:r>
          <m:t>ϕ</m:t>
        </m:r>
      </m:oMath>
      <w:r>
        <w:t xml:space="preserve"> </w:t>
      </w:r>
      <w:r>
        <w:t xml:space="preserve">for the dispersion</w:t>
      </w:r>
      <w:r>
        <w:t xml:space="preserve"> </w:t>
      </w:r>
      <w:r>
        <w:t xml:space="preserve">model). A</w:t>
      </w:r>
      <w:r>
        <w:t xml:space="preserve"> </w:t>
      </w:r>
      <w:r>
        <w:t xml:space="preserve">“hurdle gamma”</w:t>
      </w:r>
      <w:r>
        <w:t xml:space="preserve"> </w:t>
      </w:r>
      <w:r>
        <w:t xml:space="preserve">distribution is used for models of basal area and fuels</w:t>
      </w:r>
      <w:r>
        <w:t xml:space="preserve"> </w:t>
      </w:r>
      <w:r>
        <w:t xml:space="preserve">and is defined below.</w:t>
      </w:r>
    </w:p>
    <w:p>
      <w:pPr>
        <w:pStyle w:val="BodyText"/>
      </w:pPr>
      <m:oMathPara>
        <m:oMathParaPr>
          <m:jc m:val="center"/>
        </m:oMathParaPr>
        <m:oMath>
          <m:r>
            <m:rPr>
              <m:nor/>
              <m:sty m:val="p"/>
            </m:rPr>
            <m:t>hurdle_gamma</m:t>
          </m:r>
          <m:d>
            <m:dPr>
              <m:begChr m:val="("/>
              <m:sepChr m:val=""/>
              <m:endChr m:val=")"/>
              <m:grow/>
            </m:dPr>
            <m:e>
              <m:sSub>
                <m:e>
                  <m:r>
                    <m:t>y</m:t>
                  </m:r>
                </m:e>
                <m:sub>
                  <m:r>
                    <m:t>i</m:t>
                  </m:r>
                </m:sub>
              </m:sSub>
              <m:r>
                <m:rPr>
                  <m:sty m:val="p"/>
                </m:rPr>
                <m:t>∣</m:t>
              </m:r>
              <m:sSub>
                <m:e>
                  <m:r>
                    <m:t>π</m:t>
                  </m:r>
                </m:e>
                <m:sub>
                  <m:r>
                    <m:t>i</m:t>
                  </m:r>
                </m:sub>
              </m:sSub>
              <m:r>
                <m:rPr>
                  <m:sty m:val="p"/>
                </m:rPr>
                <m:t>,</m:t>
              </m:r>
              <m:sSub>
                <m:e>
                  <m:r>
                    <m:t>μ</m:t>
                  </m:r>
                </m:e>
                <m:sub>
                  <m:r>
                    <m:t>i</m:t>
                  </m:r>
                </m:sub>
              </m:sSub>
              <m:r>
                <m:rPr>
                  <m:sty m:val="p"/>
                </m:rPr>
                <m:t>,</m:t>
              </m:r>
              <m:sSub>
                <m:e>
                  <m:r>
                    <m:t>ϕ</m:t>
                  </m:r>
                </m:e>
                <m:sub>
                  <m:r>
                    <m:t>i</m:t>
                  </m:r>
                </m:sub>
              </m:sSub>
            </m:e>
          </m:d>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sSub>
                      <m:e>
                        <m:r>
                          <m:t>π</m:t>
                        </m:r>
                      </m:e>
                      <m:sub>
                        <m:r>
                          <m:t>i</m:t>
                        </m:r>
                      </m:sub>
                    </m:sSub>
                  </m:e>
                  <m:e>
                    <m:r>
                      <m:rPr>
                        <m:nor/>
                        <m:sty m:val="p"/>
                      </m:rPr>
                      <m:t>if </m:t>
                    </m:r>
                    <m:sSub>
                      <m:e>
                        <m:r>
                          <m:t>y</m:t>
                        </m:r>
                      </m:e>
                      <m:sub>
                        <m:r>
                          <m:t>i</m:t>
                        </m:r>
                      </m:sub>
                    </m:sSub>
                    <m:r>
                      <m:rPr>
                        <m:sty m:val="p"/>
                      </m:rPr>
                      <m:t>=</m:t>
                    </m:r>
                    <m:r>
                      <m:t>0</m:t>
                    </m:r>
                  </m:e>
                </m:mr>
                <m:mr>
                  <m:e>
                    <m:sSub>
                      <m:e>
                        <m:r>
                          <m:t>π</m:t>
                        </m:r>
                      </m:e>
                      <m:sub>
                        <m:r>
                          <m:t>i</m:t>
                        </m:r>
                      </m:sub>
                    </m:sSub>
                    <m:r>
                      <m:rPr>
                        <m:sty m:val="p"/>
                      </m:rPr>
                      <m:t>⋅</m:t>
                    </m:r>
                    <m:r>
                      <m:rPr>
                        <m:nor/>
                        <m:sty m:val="p"/>
                      </m:rPr>
                      <m:t>Gamma</m:t>
                    </m:r>
                    <m:d>
                      <m:dPr>
                        <m:begChr m:val="("/>
                        <m:sepChr m:val=""/>
                        <m:endChr m:val=")"/>
                        <m:grow/>
                      </m:dPr>
                      <m:e>
                        <m:sSub>
                          <m:e>
                            <m:r>
                              <m:t>y</m:t>
                            </m:r>
                          </m:e>
                          <m:sub>
                            <m:r>
                              <m:t>i</m:t>
                            </m:r>
                          </m:sub>
                        </m:sSub>
                        <m:r>
                          <m:rPr>
                            <m:sty m:val="p"/>
                          </m:rPr>
                          <m:t>∣</m:t>
                        </m:r>
                        <m:sSub>
                          <m:e>
                            <m:r>
                              <m:t>μ</m:t>
                            </m:r>
                          </m:e>
                          <m:sub>
                            <m:r>
                              <m:t>i</m:t>
                            </m:r>
                          </m:sub>
                        </m:sSub>
                        <m:r>
                          <m:rPr>
                            <m:sty m:val="p"/>
                          </m:rPr>
                          <m:t>,</m:t>
                        </m:r>
                        <m:sSub>
                          <m:e>
                            <m:r>
                              <m:t>ϕ</m:t>
                            </m:r>
                          </m:e>
                          <m:sub>
                            <m:r>
                              <m:t>i</m:t>
                            </m:r>
                          </m:sub>
                        </m:sSub>
                      </m:e>
                    </m:d>
                  </m:e>
                  <m:e>
                    <m:r>
                      <m:rPr>
                        <m:nor/>
                        <m:sty m:val="p"/>
                      </m:rPr>
                      <m:t>if </m:t>
                    </m:r>
                    <m:sSub>
                      <m:e>
                        <m:r>
                          <m:t>y</m:t>
                        </m:r>
                      </m:e>
                      <m:sub>
                        <m:r>
                          <m:t>i</m:t>
                        </m:r>
                      </m:sub>
                    </m:sSub>
                    <m:r>
                      <m:rPr>
                        <m:sty m:val="p"/>
                      </m:rPr>
                      <m:t>&gt;</m:t>
                    </m:r>
                    <m:r>
                      <m:t>0</m:t>
                    </m:r>
                  </m:e>
                </m:mr>
              </m:m>
            </m:e>
          </m:d>
        </m:oMath>
      </m:oMathPara>
    </w:p>
    <w:bookmarkStart w:id="70" w:name="regeneration-2"/>
    <w:p>
      <w:pPr>
        <w:pStyle w:val="Heading2"/>
      </w:pPr>
      <w:r>
        <w:t xml:space="preserve">3.1 Regeneration</w:t>
      </w:r>
    </w:p>
    <w:bookmarkStart w:id="62"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w:t>
      </w:r>
    </w:p>
    <w:tbl>
      <w:tblPr>
        <w:tblStyle w:val="Table"/>
        <w:tblW w:type="pct" w:w="5000"/>
        <w:tblLayout w:type="fixed"/>
        <w:tblLook w:firstRow="0" w:lastRow="0" w:firstColumn="0" w:lastColumn="0" w:noHBand="0" w:noVBand="0" w:val="0000"/>
      </w:tblPr>
      <w:tblGrid>
        <w:gridCol w:w="7920"/>
      </w:tblGrid>
      <w:tr>
        <w:tc>
          <w:tcPr/>
          <w:bookmarkStart w:id="50"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0"/>
        </w:tc>
      </w:tr>
    </w:tbl>
    <w:p>
      <w:pPr>
        <w:pStyle w:val="FirstParagraph"/>
      </w:pPr>
      <m:oMathPara>
        <m:oMathParaPr>
          <m:jc m:val="center"/>
        </m:oMathParaPr>
        <m:oMath>
          <m:sSub>
            <m:e>
              <m:r>
                <m:t>Y</m:t>
              </m:r>
            </m:e>
            <m:sub>
              <m:r>
                <m:t>i</m:t>
              </m:r>
            </m:sub>
          </m:sSub>
          <m:r>
            <m:rPr>
              <m:sty m:val="p"/>
            </m:rPr>
            <m:t>∼</m:t>
          </m:r>
          <m:r>
            <m:rPr>
              <m:nor/>
              <m:sty m:val="p"/>
            </m:rPr>
            <m:t>hurdle_gamma</m:t>
          </m:r>
          <m:d>
            <m:dPr>
              <m:begChr m:val="("/>
              <m:sepChr m:val=""/>
              <m:endChr m:val=")"/>
              <m:grow/>
            </m:dPr>
            <m:e>
              <m:sSub>
                <m:e>
                  <m:r>
                    <m:t>π</m:t>
                  </m:r>
                </m:e>
                <m:sub>
                  <m:r>
                    <m:t>i</m:t>
                  </m:r>
                </m:sub>
              </m:sSub>
              <m:r>
                <m:rPr>
                  <m:sty m:val="p"/>
                </m:rPr>
                <m:t>,</m:t>
              </m:r>
              <m:sSub>
                <m:e>
                  <m:r>
                    <m:t>μ</m:t>
                  </m:r>
                </m:e>
                <m:sub>
                  <m:r>
                    <m:t>i</m:t>
                  </m:r>
                </m:sub>
              </m:sSub>
              <m:r>
                <m:rPr>
                  <m:sty m:val="p"/>
                </m:rPr>
                <m:t>,</m:t>
              </m:r>
              <m:sSub>
                <m:e>
                  <m:r>
                    <m:t>ϕ</m:t>
                  </m:r>
                </m:e>
                <m:sub>
                  <m:r>
                    <m:t>i</m:t>
                  </m:r>
                </m:sub>
              </m:sSub>
            </m:e>
          </m:d>
        </m:oMath>
      </m:oMathPara>
    </w:p>
    <w:p>
      <w:pPr>
        <w:pStyle w:val="FirstParagraph"/>
      </w:pPr>
      <m:oMathPara>
        <m:oMathParaPr>
          <m:jc m:val="center"/>
        </m:oMathParaPr>
        <m:oMath>
          <m:r>
            <m:rPr>
              <m:nor/>
              <m:sty m:val="p"/>
            </m:rPr>
            <m:t>logit</m:t>
          </m:r>
          <m:d>
            <m:dPr>
              <m:begChr m:val="("/>
              <m:sepChr m:val=""/>
              <m:endChr m:val=")"/>
              <m:grow/>
            </m:dPr>
            <m:e>
              <m:sSub>
                <m:e>
                  <m:r>
                    <m:t>π</m:t>
                  </m:r>
                </m:e>
                <m:sub>
                  <m:r>
                    <m:t>i</m:t>
                  </m:r>
                </m:sub>
              </m:sSub>
            </m:e>
          </m:d>
          <m:r>
            <m:rPr>
              <m:sty m:val="p"/>
            </m:rPr>
            <m:t>=</m:t>
          </m:r>
          <m:sSubSup>
            <m:e>
              <m:r>
                <m:t>β</m:t>
              </m:r>
            </m:e>
            <m:sub>
              <m:r>
                <m:t>0</m:t>
              </m:r>
            </m:sub>
            <m:sup>
              <m:r>
                <m:t>π</m:t>
              </m:r>
            </m:sup>
          </m:sSubSup>
          <m:r>
            <m:rPr>
              <m:sty m:val="p"/>
            </m:rPr>
            <m:t>+</m:t>
          </m:r>
          <m:sSubSup>
            <m:e>
              <m:r>
                <m:t>β</m:t>
              </m:r>
            </m:e>
            <m:sub>
              <m:r>
                <m:rPr>
                  <m:nor/>
                  <m:sty m:val="p"/>
                </m:rPr>
                <m:t>spp</m:t>
              </m:r>
            </m:sub>
            <m:sup>
              <m:r>
                <m:t>π</m:t>
              </m:r>
            </m:sup>
          </m:sSubSup>
          <m:r>
            <m:rPr>
              <m:sty m:val="p"/>
            </m:rPr>
            <m:t>⋅</m:t>
          </m:r>
          <m:sSub>
            <m:e>
              <m:r>
                <m:rPr>
                  <m:nor/>
                  <m:sty m:val="p"/>
                </m:rPr>
                <m:t>Species</m:t>
              </m:r>
            </m:e>
            <m:sub>
              <m:r>
                <m:t>i</m:t>
              </m:r>
            </m:sub>
          </m:sSub>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r>
            <m:rPr>
              <m:nor/>
              <m:sty m:val="p"/>
            </m:rPr>
            <m:t>Trt</m:t>
          </m:r>
          <m:r>
            <m:rPr>
              <m:sty m:val="p"/>
            </m:rPr>
            <m:t>+</m:t>
          </m:r>
          <m:sSub>
            <m:e>
              <m:r>
                <m:t>α</m:t>
              </m:r>
            </m:e>
            <m:sub>
              <m:r>
                <m:t>j</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ϕ</m:t>
                  </m:r>
                </m:e>
                <m:sub>
                  <m:r>
                    <m:t>i</m:t>
                  </m:r>
                </m:sub>
              </m:sSub>
            </m:e>
          </m:d>
          <m:r>
            <m:rPr>
              <m:sty m:val="p"/>
            </m:rPr>
            <m:t>=</m:t>
          </m:r>
          <m:sSubSup>
            <m:e>
              <m:r>
                <m:t>β</m:t>
              </m:r>
            </m:e>
            <m:sub>
              <m:r>
                <m:t>0</m:t>
              </m:r>
            </m:sub>
            <m:sup>
              <m:r>
                <m:t>ϕ</m:t>
              </m:r>
            </m:sup>
          </m:sSubSup>
          <m:r>
            <m:rPr>
              <m:sty m:val="p"/>
            </m:rPr>
            <m:t>+</m:t>
          </m:r>
          <m:sSubSup>
            <m:e>
              <m:r>
                <m:t>β</m:t>
              </m:r>
            </m:e>
            <m:sub>
              <m:r>
                <m:rPr>
                  <m:nor/>
                  <m:sty m:val="p"/>
                </m:rPr>
                <m:t>spp</m:t>
              </m:r>
            </m:sub>
            <m:sup>
              <m:r>
                <m:t>ϕ</m:t>
              </m:r>
            </m:sup>
          </m:sSubSup>
          <m:r>
            <m:rPr>
              <m:sty m:val="p"/>
            </m:rPr>
            <m:t>⋅</m:t>
          </m:r>
          <m:sSub>
            <m:e>
              <m:r>
                <m:rPr>
                  <m:nor/>
                  <m:sty m:val="p"/>
                </m:rPr>
                <m:t>Species</m:t>
              </m:r>
            </m:e>
            <m:sub>
              <m:r>
                <m:t>i</m:t>
              </m:r>
            </m:sub>
          </m:sSub>
        </m:oMath>
      </m:oMathPara>
    </w:p>
    <w:p>
      <w:pPr>
        <w:pStyle w:val="FirstParagraph"/>
      </w:pPr>
      <m:oMathPara>
        <m:oMathParaPr>
          <m:jc m:val="center"/>
        </m:oMathParaPr>
        <m:oMath>
          <m:sSub>
            <m:e>
              <m:r>
                <m:t>α</m:t>
              </m:r>
            </m:e>
            <m:sub>
              <m:r>
                <m:t>j</m:t>
              </m:r>
            </m:sub>
          </m:sSub>
          <m:r>
            <m:rPr>
              <m:sty m:val="p"/>
            </m:rPr>
            <m:t>∼</m:t>
          </m:r>
          <m:r>
            <m:t>N</m:t>
          </m:r>
          <m:d>
            <m:dPr>
              <m:begChr m:val="("/>
              <m:sepChr m:val=""/>
              <m:endChr m:val=")"/>
              <m:grow/>
            </m:dPr>
            <m:e>
              <m:r>
                <m:t>0</m:t>
              </m:r>
              <m:r>
                <m:rPr>
                  <m:sty m:val="p"/>
                </m:rPr>
                <m:t>,</m:t>
              </m:r>
              <m:sSubSup>
                <m:e>
                  <m:r>
                    <m:t>σ</m:t>
                  </m:r>
                </m:e>
                <m:sub>
                  <m:r>
                    <m:t>j</m:t>
                  </m:r>
                </m:sub>
                <m:sup>
                  <m:r>
                    <m:t>2</m:t>
                  </m:r>
                </m:sup>
              </m:sSubSup>
            </m:e>
          </m:d>
        </m:oMath>
      </m:oMathPara>
    </w:p>
    <w:p>
      <w:pPr>
        <w:pStyle w:val="Compact"/>
        <w:numPr>
          <w:ilvl w:val="0"/>
          <w:numId w:val="1001"/>
        </w:numPr>
      </w:pPr>
      <m:oMath>
        <m:sSub>
          <m:e>
            <m:r>
              <m:t>Y</m:t>
            </m:r>
          </m:e>
          <m:sub>
            <m:r>
              <m:t>i</m:t>
            </m:r>
          </m:sub>
        </m:sSub>
      </m:oMath>
      <w:r>
        <w:t xml:space="preserve">: Total basal area per hectare for each species in a 4-meter radius</w:t>
      </w:r>
      <w:r>
        <w:t xml:space="preserve"> </w:t>
      </w:r>
      <w:r>
        <w:t xml:space="preserve">regeneration plot.</w:t>
      </w:r>
    </w:p>
    <w:p>
      <w:pPr>
        <w:pStyle w:val="Compact"/>
        <w:numPr>
          <w:ilvl w:val="0"/>
          <w:numId w:val="1001"/>
        </w:numPr>
      </w:pPr>
      <m:oMath>
        <m:sSub>
          <m:e>
            <m:r>
              <m:t>π</m:t>
            </m:r>
          </m:e>
          <m:sub>
            <m:r>
              <m:t>i</m:t>
            </m:r>
          </m:sub>
        </m:sSub>
      </m:oMath>
      <w:r>
        <w:t xml:space="preserve">: Probability that</w:t>
      </w:r>
      <w:r>
        <w:t xml:space="preserve"> </w:t>
      </w:r>
      <m:oMath>
        <m:sSub>
          <m:e>
            <m:r>
              <m:t>Y</m:t>
            </m:r>
          </m:e>
          <m:sub>
            <m:r>
              <m:t>i</m:t>
            </m:r>
          </m:sub>
        </m:sSub>
        <m:r>
          <m:rPr>
            <m:sty m:val="p"/>
          </m:rPr>
          <m:t>&gt;</m:t>
        </m:r>
        <m:r>
          <m:t>0</m:t>
        </m:r>
      </m:oMath>
    </w:p>
    <w:p>
      <w:pPr>
        <w:pStyle w:val="Compact"/>
        <w:numPr>
          <w:ilvl w:val="0"/>
          <w:numId w:val="1001"/>
        </w:numPr>
      </w:pPr>
      <m:oMath>
        <m:sSub>
          <m:e>
            <m:r>
              <m:t>μ</m:t>
            </m:r>
          </m:e>
          <m:sub>
            <m:r>
              <m:t>i</m:t>
            </m:r>
          </m:sub>
        </m:sSub>
      </m:oMath>
      <w:r>
        <w:t xml:space="preserve">: Mean of positive values.</w:t>
      </w:r>
    </w:p>
    <w:p>
      <w:pPr>
        <w:pStyle w:val="Compact"/>
        <w:numPr>
          <w:ilvl w:val="0"/>
          <w:numId w:val="1001"/>
        </w:numPr>
      </w:pPr>
      <m:oMath>
        <m:sSub>
          <m:e>
            <m:r>
              <m:t>ϕ</m:t>
            </m:r>
          </m:e>
          <m:sub>
            <m:r>
              <m:t>i</m:t>
            </m:r>
          </m:sub>
        </m:sSub>
      </m:oMath>
      <w:r>
        <w:t xml:space="preserve">: Dispersion parameter for Gamma distribution</w:t>
      </w:r>
    </w:p>
    <w:p>
      <w:pPr>
        <w:pStyle w:val="Compact"/>
        <w:numPr>
          <w:ilvl w:val="0"/>
          <w:numId w:val="1001"/>
        </w:numPr>
      </w:pPr>
      <m:oMath>
        <m:sSub>
          <m:e>
            <m:r>
              <m:t>α</m:t>
            </m:r>
          </m:e>
          <m:sub>
            <m:r>
              <m:t>j</m:t>
            </m:r>
          </m:sub>
        </m:sSub>
      </m:oMath>
      <w:r>
        <w:t xml:space="preserve">: Group effect pertaining to a site:species interaction</w:t>
      </w:r>
    </w:p>
    <w:p>
      <w:pPr>
        <w:pStyle w:val="FirstParagraph"/>
      </w:pPr>
      <w:r>
        <w:t xml:space="preserve">Focal species for this model included redwood, tanaok, Douglas-fir, and other</w:t>
      </w:r>
      <w:r>
        <w:t xml:space="preserve"> </w:t>
      </w:r>
      <w:r>
        <w:t xml:space="preserve">species.</w:t>
      </w:r>
    </w:p>
    <w:p>
      <w:pPr>
        <w:pStyle w:val="BodyText"/>
      </w:pPr>
      <w:r>
        <w:t xml:space="preserve">Redwood regeneration basal area showed the greatest treatment response.</w:t>
      </w:r>
      <w:r>
        <w:t xml:space="preserve"> </w:t>
      </w:r>
      <w:r>
        <w:t xml:space="preserve">The GS treatment had the greatest basal area of redwood regeneration at</w:t>
      </w:r>
      <w:r>
        <w:t xml:space="preserve"> </w:t>
      </w:r>
      <w:r>
        <w:t xml:space="preserve">10.12 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regeneration basal area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1"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multiaged redwood forest. The asymptotic 95% confidence intervals are based on the normal approximation.</w:t>
            </w:r>
          </w:p>
          <w:tbl>
            <w:tblPr>
              <w:tblStyle w:val="Table"/>
              <w:tblW w:type="pct" w:w="3056"/>
              <w:tblLayout w:type="fixed"/>
              <w:tblLook w:firstRow="1" w:lastRow="0" w:firstColumn="0" w:lastColumn="0" w:noHBand="0" w:noVBand="0" w:val="0020"/>
            </w:tblPr>
            <w:tblGrid>
              <w:gridCol w:w="88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0.67</w:t>
                  </w:r>
                </w:p>
              </w:tc>
              <w:tc>
                <w:tcPr/>
                <w:p>
                  <w:pPr>
                    <w:pStyle w:val="Compact"/>
                    <w:jc w:val="center"/>
                  </w:pPr>
                  <w:r>
                    <w:t xml:space="preserve">2.50</w:t>
                  </w:r>
                </w:p>
              </w:tc>
            </w:tr>
          </w:tbl>
          <w:bookmarkEnd w:id="51"/>
          <w:p/>
        </w:tc>
      </w:tr>
    </w:tbl>
    <w:tbl>
      <w:tblPr>
        <w:tblStyle w:val="Table"/>
        <w:tblW w:type="pct" w:w="5000"/>
        <w:tblLayout w:type="fixed"/>
        <w:tblLook w:firstRow="0" w:lastRow="0" w:firstColumn="0" w:lastColumn="0" w:noHBand="0" w:noVBand="0" w:val="0000"/>
      </w:tblPr>
      <w:tblGrid>
        <w:gridCol w:w="7920"/>
      </w:tblGrid>
      <w:tr>
        <w:tc>
          <w:tcPr/>
          <w:bookmarkStart w:id="55" w:name="fig-regen-ba"/>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 Note: Y-axes vary by species.</w:t>
            </w:r>
          </w:p>
          <w:bookmarkEnd w:id="55"/>
        </w:tc>
      </w:tr>
    </w:tbl>
    <w:tbl>
      <w:tblPr>
        <w:tblStyle w:val="Table"/>
        <w:tblW w:type="pct" w:w="5000"/>
        <w:tblLayout w:type="fixed"/>
        <w:tblLook w:firstRow="0" w:lastRow="0" w:firstColumn="0" w:lastColumn="0" w:noHBand="0" w:noVBand="0" w:val="0000"/>
      </w:tblPr>
      <w:tblGrid>
        <w:gridCol w:w="7920"/>
      </w:tblGrid>
      <w:tr>
        <w:tc>
          <w:tcPr/>
          <w:bookmarkStart w:id="56"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3889"/>
              <w:tblLayout w:type="fixed"/>
              <w:tblLook w:firstRow="1" w:lastRow="0" w:firstColumn="0" w:lastColumn="0" w:noHBand="0" w:noVBand="0" w:val="0020"/>
            </w:tblPr>
            <w:tblGrid>
              <w:gridCol w:w="880"/>
              <w:gridCol w:w="132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0.39</w:t>
                  </w:r>
                </w:p>
              </w:tc>
              <w:tc>
                <w:tcPr/>
                <w:p>
                  <w:pPr>
                    <w:pStyle w:val="Compact"/>
                    <w:jc w:val="center"/>
                  </w:pPr>
                  <w:r>
                    <w:t xml:space="preserve">2.11</w:t>
                  </w:r>
                </w:p>
              </w:tc>
            </w:tr>
          </w:tbl>
          <w:bookmarkEnd w:id="5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125"/>
              <w:tblLayout w:type="fixed"/>
              <w:tblLook w:firstRow="1" w:lastRow="0" w:firstColumn="0" w:lastColumn="0" w:noHBand="0" w:noVBand="0" w:val="0020"/>
            </w:tblPr>
            <w:tblGrid>
              <w:gridCol w:w="880"/>
              <w:gridCol w:w="1210"/>
              <w:gridCol w:w="990"/>
              <w:gridCol w:w="77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0.8</w:t>
                  </w:r>
                </w:p>
              </w:tc>
            </w:tr>
          </w:tbl>
          <w:bookmarkEnd w:id="57"/>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w:t>
      </w:r>
      <w:hyperlink w:anchor="fig-regen-ba-rw-to">
        <w:r>
          <w:rPr>
            <w:rStyle w:val="Hyperlink"/>
          </w:rPr>
          <w:t xml:space="preserve">Figure 3.2</w:t>
        </w:r>
      </w:hyperlink>
      <w:r>
        <w:t xml:space="preserve">). In the HD</w:t>
      </w:r>
      <w:r>
        <w:t xml:space="preserve"> </w:t>
      </w:r>
      <w:r>
        <w:t xml:space="preserve">treatment redwood and tanoak average basal area uncertainty across sites is very</w:t>
      </w:r>
      <w:r>
        <w:t xml:space="preserve"> </w:t>
      </w:r>
      <w:r>
        <w:t xml:space="preserve">similar.</w:t>
      </w:r>
    </w:p>
    <w:tbl>
      <w:tblPr>
        <w:tblStyle w:val="Table"/>
        <w:tblW w:type="pct" w:w="5000"/>
        <w:tblLayout w:type="fixed"/>
        <w:tblLook w:firstRow="0" w:lastRow="0" w:firstColumn="0" w:lastColumn="0" w:noHBand="0" w:noVBand="0" w:val="0000"/>
      </w:tblPr>
      <w:tblGrid>
        <w:gridCol w:w="7920"/>
      </w:tblGrid>
      <w:tr>
        <w:tc>
          <w:tcPr/>
          <w:bookmarkStart w:id="61" w:name="fig-regen-ba-rw-to"/>
          <w:p>
            <w:pPr>
              <w:pStyle w:val="Compact"/>
              <w:jc w:val="center"/>
            </w:pPr>
            <w:r>
              <w:drawing>
                <wp:inline>
                  <wp:extent cx="4620126" cy="3696101"/>
                  <wp:effectExtent b="0" l="0" r="0" t="0"/>
                  <wp:docPr descr="" title="" id="59" name="Picture"/>
                  <a:graphic>
                    <a:graphicData uri="http://schemas.openxmlformats.org/drawingml/2006/picture">
                      <pic:pic>
                        <pic:nvPicPr>
                          <pic:cNvPr descr="thesis/results_files/figure-docx/fig-regen-ba-rw-to-1.png" id="6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1"/>
        </w:tc>
      </w:tr>
    </w:tbl>
    <w:bookmarkEnd w:id="62"/>
    <w:bookmarkStart w:id="69"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sites</w:t>
      </w:r>
      <w:r>
        <w:t xml:space="preserve"> </w:t>
      </w:r>
      <w:r>
        <w:t xml:space="preserve">and macro plots within sites.</w:t>
      </w:r>
    </w:p>
    <w:tbl>
      <w:tblPr>
        <w:tblStyle w:val="Table"/>
        <w:tblW w:type="pct" w:w="5000"/>
        <w:tblLayout w:type="fixed"/>
        <w:tblLook w:firstRow="0" w:lastRow="0" w:firstColumn="0" w:lastColumn="0" w:noHBand="0" w:noVBand="0" w:val="0000"/>
      </w:tblPr>
      <w:tblGrid>
        <w:gridCol w:w="7920"/>
      </w:tblGrid>
      <w:tr>
        <w:tc>
          <w:tcPr/>
          <w:bookmarkStart w:id="63"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3"/>
        </w:tc>
      </w:tr>
    </w:tbl>
    <w:p>
      <w:pPr>
        <w:pStyle w:val="FirstParagraph"/>
      </w:pPr>
      <m:oMathPara>
        <m:oMathParaPr>
          <m:jc m:val="center"/>
        </m:oMathParaPr>
        <m:oMath>
          <m:sSub>
            <m:e>
              <m:r>
                <m:t>Y</m:t>
              </m:r>
            </m:e>
            <m:sub>
              <m:r>
                <m:t>i</m:t>
              </m:r>
            </m:sub>
          </m:sSub>
          <m:r>
            <m:rPr>
              <m:sty m:val="p"/>
            </m:rPr>
            <m:t>∼</m:t>
          </m:r>
          <m:r>
            <m:rPr>
              <m:nor/>
              <m:sty m:val="p"/>
            </m:rPr>
            <m:t>NB1</m:t>
          </m:r>
          <m:d>
            <m:dPr>
              <m:begChr m:val="("/>
              <m:sepChr m:val=""/>
              <m:endChr m:val=")"/>
              <m:grow/>
            </m:dPr>
            <m:e>
              <m:sSub>
                <m:e>
                  <m:r>
                    <m:t>μ</m:t>
                  </m:r>
                </m:e>
                <m:sub>
                  <m:r>
                    <m:t>i</m:t>
                  </m:r>
                </m:sub>
              </m:sSub>
              <m:r>
                <m:rPr>
                  <m:sty m:val="p"/>
                </m:rPr>
                <m:t>,</m:t>
              </m:r>
              <m:r>
                <m:t>ϕ</m:t>
              </m:r>
            </m:e>
          </m:d>
          <m:r>
            <m:rPr>
              <m:sty m:val="p"/>
            </m:rPr>
            <m:t>;</m:t>
          </m:r>
          <m:r>
            <m:t> </m:t>
          </m:r>
          <m:r>
            <m:rPr>
              <m:nor/>
              <m:sty m:val="p"/>
            </m:rPr>
            <m:t>where</m:t>
          </m:r>
          <m:r>
            <m:t> </m:t>
          </m:r>
          <m:r>
            <m:t>V</m:t>
          </m:r>
          <m:r>
            <m:t>a</m:t>
          </m:r>
          <m:r>
            <m:t>r</m:t>
          </m:r>
          <m:d>
            <m:dPr>
              <m:begChr m:val="("/>
              <m:sepChr m:val=""/>
              <m:endChr m:val=")"/>
              <m:grow/>
            </m:dPr>
            <m:e>
              <m:sSub>
                <m:e>
                  <m:r>
                    <m:t>Y</m:t>
                  </m:r>
                </m:e>
                <m:sub>
                  <m:r>
                    <m:t>i</m:t>
                  </m:r>
                </m:sub>
              </m:sSub>
            </m:e>
          </m:d>
          <m:r>
            <m:rPr>
              <m:sty m:val="p"/>
            </m:rPr>
            <m:t>=</m:t>
          </m:r>
          <m:sSub>
            <m:e>
              <m:r>
                <m:t>μ</m:t>
              </m:r>
            </m:e>
            <m:sub>
              <m:r>
                <m:t>i</m:t>
              </m:r>
            </m:sub>
          </m:sSub>
          <m:r>
            <m:rPr>
              <m:sty m:val="p"/>
            </m:rPr>
            <m:t>+</m:t>
          </m:r>
          <m:r>
            <m:t>ϕ</m:t>
          </m:r>
          <m:sSub>
            <m:e>
              <m:r>
                <m:t>μ</m:t>
              </m:r>
            </m:e>
            <m:sub>
              <m:r>
                <m:t>i</m:t>
              </m:r>
            </m:sub>
          </m:sSub>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
            <m:e>
              <m:r>
                <m:t>β</m:t>
              </m:r>
            </m:e>
            <m:sub>
              <m:r>
                <m:t>0</m:t>
              </m:r>
            </m:sub>
          </m:sSub>
          <m:r>
            <m:rPr>
              <m:sty m:val="p"/>
            </m:rPr>
            <m:t>+</m:t>
          </m:r>
          <m:sSub>
            <m:e>
              <m:r>
                <m:t>β</m:t>
              </m:r>
            </m:e>
            <m:sub>
              <m:r>
                <m:rPr>
                  <m:nor/>
                  <m:sty m:val="p"/>
                </m:rPr>
                <m:t>trt</m:t>
              </m:r>
            </m:sub>
          </m:sSub>
          <m:r>
            <m:rPr>
              <m:sty m:val="p"/>
            </m:rPr>
            <m:t>⋅</m:t>
          </m:r>
          <m:sSub>
            <m:e>
              <m:r>
                <m:rPr>
                  <m:nor/>
                  <m:sty m:val="p"/>
                </m:rPr>
                <m:t>Trt</m:t>
              </m:r>
            </m:e>
            <m:sub>
              <m:r>
                <m:t>i</m:t>
              </m:r>
            </m:sub>
          </m:sSub>
          <m:r>
            <m:rPr>
              <m:sty m:val="p"/>
            </m:rPr>
            <m:t>+</m:t>
          </m:r>
          <m:sSub>
            <m:e>
              <m:r>
                <m:t>α</m:t>
              </m:r>
            </m:e>
            <m:sub>
              <m:r>
                <m:t>j</m:t>
              </m:r>
              <m:d>
                <m:dPr>
                  <m:begChr m:val="["/>
                  <m:sepChr m:val=""/>
                  <m:endChr m:val="]"/>
                  <m:grow/>
                </m:dPr>
                <m:e>
                  <m:r>
                    <m:t>i</m:t>
                  </m:r>
                </m:e>
              </m:d>
            </m:sub>
          </m:sSub>
          <m:r>
            <m:rPr>
              <m:sty m:val="p"/>
            </m:rPr>
            <m:t>+</m:t>
          </m:r>
          <m:sSub>
            <m:e>
              <m:r>
                <m:t>α</m:t>
              </m:r>
            </m:e>
            <m:sub>
              <m:r>
                <m:t>k</m:t>
              </m:r>
              <m:d>
                <m:dPr>
                  <m:begChr m:val="["/>
                  <m:sepChr m:val=""/>
                  <m:endChr m:val="]"/>
                  <m:grow/>
                </m:dPr>
                <m:e>
                  <m:r>
                    <m:t>i</m:t>
                  </m:r>
                </m:e>
              </m:d>
            </m:sub>
          </m:sSub>
        </m:oMath>
      </m:oMathPara>
    </w:p>
    <w:p>
      <w:pPr>
        <w:pStyle w:val="FirstParagraph"/>
      </w:pPr>
      <m:oMathPara>
        <m:oMathParaPr>
          <m:jc m:val="center"/>
        </m:oMathParaPr>
        <m:oMath>
          <m:sSub>
            <m:e>
              <m:r>
                <m:t>α</m:t>
              </m:r>
            </m:e>
            <m:sub>
              <m:r>
                <m:t>j</m:t>
              </m:r>
            </m:sub>
          </m:sSub>
          <m:r>
            <m:rPr>
              <m:sty m:val="p"/>
            </m:rPr>
            <m:t>∼</m:t>
          </m:r>
          <m:r>
            <m:rPr>
              <m:sty m:val="p"/>
            </m:rPr>
            <m:t>N</m:t>
          </m:r>
          <m:d>
            <m:dPr>
              <m:begChr m:val="("/>
              <m:sepChr m:val=""/>
              <m:endChr m:val=")"/>
              <m:grow/>
            </m:dPr>
            <m:e>
              <m:r>
                <m:t>0</m:t>
              </m:r>
              <m:r>
                <m:rPr>
                  <m:sty m:val="p"/>
                </m:rPr>
                <m:t>,</m:t>
              </m:r>
              <m:sSubSup>
                <m:e>
                  <m:r>
                    <m:t>σ</m:t>
                  </m:r>
                </m:e>
                <m:sub>
                  <m:r>
                    <m:t>j</m:t>
                  </m:r>
                </m:sub>
                <m:sup>
                  <m:r>
                    <m:t>2</m:t>
                  </m:r>
                </m:sup>
              </m:sSubSup>
            </m:e>
          </m:d>
          <m:r>
            <m:rPr>
              <m:sty m:val="p"/>
            </m:rPr>
            <m:t>,</m:t>
          </m:r>
          <m:r>
            <m:t> </m:t>
          </m:r>
          <m:sSub>
            <m:e>
              <m:r>
                <m:t>α</m:t>
              </m:r>
            </m:e>
            <m:sub>
              <m:r>
                <m:t>k</m:t>
              </m:r>
            </m:sub>
          </m:sSub>
          <m:r>
            <m:rPr>
              <m:sty m:val="p"/>
            </m:rPr>
            <m:t>∼</m:t>
          </m:r>
          <m:r>
            <m:rPr>
              <m:sty m:val="p"/>
            </m:rPr>
            <m:t>N</m:t>
          </m:r>
          <m:d>
            <m:dPr>
              <m:begChr m:val="("/>
              <m:sepChr m:val=""/>
              <m:endChr m:val=")"/>
              <m:grow/>
            </m:dPr>
            <m:e>
              <m:r>
                <m:t>0</m:t>
              </m:r>
              <m:r>
                <m:rPr>
                  <m:sty m:val="p"/>
                </m:rPr>
                <m:t>,</m:t>
              </m:r>
              <m:sSubSup>
                <m:e>
                  <m:r>
                    <m:t>σ</m:t>
                  </m:r>
                </m:e>
                <m:sub>
                  <m:r>
                    <m:t>k</m:t>
                  </m:r>
                </m:sub>
                <m:sup>
                  <m:r>
                    <m:t>2</m:t>
                  </m:r>
                </m:sup>
              </m:sSubSup>
            </m:e>
          </m:d>
        </m:oMath>
      </m:oMathPara>
    </w:p>
    <w:p>
      <w:pPr>
        <w:pStyle w:val="Compact"/>
        <w:numPr>
          <w:ilvl w:val="0"/>
          <w:numId w:val="1002"/>
        </w:numPr>
      </w:pPr>
      <m:oMath>
        <m:sSub>
          <m:e>
            <m:r>
              <m:t>Y</m:t>
            </m:r>
          </m:e>
          <m:sub>
            <m:r>
              <m:t>i</m:t>
            </m:r>
          </m:sub>
        </m:sSub>
      </m:oMath>
      <w:r>
        <w:t xml:space="preserve">: Count of Douglas-fir seedlings in a 4-meter radius vegetation plot.</w:t>
      </w:r>
    </w:p>
    <w:p>
      <w:pPr>
        <w:pStyle w:val="Compact"/>
        <w:numPr>
          <w:ilvl w:val="0"/>
          <w:numId w:val="1002"/>
        </w:numPr>
      </w:pPr>
      <m:oMath>
        <m:sSub>
          <m:e>
            <m:r>
              <m:t>μ</m:t>
            </m:r>
          </m:e>
          <m:sub>
            <m:r>
              <m:t>i</m:t>
            </m:r>
          </m:sub>
        </m:sSub>
      </m:oMath>
      <w:r>
        <w:t xml:space="preserve">: The expected count for vegetation plot</w:t>
      </w:r>
      <w:r>
        <w:t xml:space="preserve"> </w:t>
      </w:r>
      <m:oMath>
        <m:r>
          <m:t>i</m:t>
        </m:r>
      </m:oMath>
      <w:r>
        <w:t xml:space="preserve">.</w:t>
      </w:r>
    </w:p>
    <w:p>
      <w:pPr>
        <w:pStyle w:val="Compact"/>
        <w:numPr>
          <w:ilvl w:val="0"/>
          <w:numId w:val="1002"/>
        </w:numPr>
      </w:pPr>
      <m:oMath>
        <m:sSub>
          <m:e>
            <m:r>
              <m:t>β</m:t>
            </m:r>
          </m:e>
          <m:sub>
            <m:r>
              <m:rPr>
                <m:nor/>
                <m:sty m:val="p"/>
              </m:rPr>
              <m:t>trt</m:t>
            </m:r>
          </m:sub>
        </m:sSub>
      </m:oMath>
      <w:r>
        <w:t xml:space="preserve">: Fixed effect for harvest treatment.</w:t>
      </w:r>
    </w:p>
    <w:p>
      <w:pPr>
        <w:pStyle w:val="Compact"/>
        <w:numPr>
          <w:ilvl w:val="0"/>
          <w:numId w:val="1002"/>
        </w:numPr>
      </w:pPr>
      <m:oMath>
        <m:sSub>
          <m:e>
            <m:r>
              <m:t>α</m:t>
            </m:r>
          </m:e>
          <m:sub>
            <m:r>
              <m:t>j</m:t>
            </m:r>
          </m:sub>
        </m:sSub>
      </m:oMath>
      <w:r>
        <w:t xml:space="preserve">: Random intercept for site.</w:t>
      </w:r>
    </w:p>
    <w:p>
      <w:pPr>
        <w:pStyle w:val="Compact"/>
        <w:numPr>
          <w:ilvl w:val="0"/>
          <w:numId w:val="1002"/>
        </w:numPr>
      </w:pPr>
      <m:oMath>
        <m:sSub>
          <m:e>
            <m:r>
              <m:t>α</m:t>
            </m:r>
          </m:e>
          <m:sub>
            <m:r>
              <m:t>k</m:t>
            </m:r>
          </m:sub>
        </m:sSub>
      </m:oMath>
      <w:r>
        <w:t xml:space="preserve">: Random intercept for plots within sites.</w:t>
      </w:r>
    </w:p>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df-counts"/>
          <w:p>
            <w:pPr>
              <w:pStyle w:val="Compact"/>
              <w:jc w:val="center"/>
            </w:pPr>
            <w:r>
              <w:drawing>
                <wp:inline>
                  <wp:extent cx="4620126" cy="3696101"/>
                  <wp:effectExtent b="0" l="0" r="0" t="0"/>
                  <wp:docPr descr="" title="" id="65" name="Picture"/>
                  <a:graphic>
                    <a:graphicData uri="http://schemas.openxmlformats.org/drawingml/2006/picture">
                      <pic:pic>
                        <pic:nvPicPr>
                          <pic:cNvPr descr="thesis/results_files/figure-docx/fig-df-counts-1.png" id="66"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Expected marginal means of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67"/>
        </w:tc>
      </w:tr>
    </w:tbl>
    <w:tbl>
      <w:tblPr>
        <w:tblStyle w:val="Table"/>
        <w:tblW w:type="pct" w:w="5000"/>
        <w:tblLayout w:type="fixed"/>
        <w:tblLook w:firstRow="0" w:lastRow="0" w:firstColumn="0" w:lastColumn="0" w:noHBand="0" w:noVBand="0" w:val="0000"/>
      </w:tblPr>
      <w:tblGrid>
        <w:gridCol w:w="7920"/>
      </w:tblGrid>
      <w:tr>
        <w:tc>
          <w:tcPr/>
          <w:bookmarkStart w:id="68"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68"/>
          <w:p/>
        </w:tc>
      </w:tr>
    </w:tbl>
    <w:bookmarkEnd w:id="69"/>
    <w:bookmarkEnd w:id="70"/>
    <w:bookmarkStart w:id="91" w:name="sprout-heights-1"/>
    <w:p>
      <w:pPr>
        <w:pStyle w:val="Heading2"/>
      </w:pPr>
      <w:r>
        <w:t xml:space="preserve">3.2 Sprout heights</w:t>
      </w:r>
    </w:p>
    <w:p>
      <w:pPr>
        <w:pStyle w:val="FirstParagraph"/>
      </w:pPr>
      <w:r>
        <w:t xml:space="preserve">In the following two models, a random slope for species is included for each</w:t>
      </w:r>
      <w:r>
        <w:t xml:space="preserve"> </w:t>
      </w:r>
      <w:r>
        <w:t xml:space="preserve">macro plot. This specifies a general (unstructured) covariance matrix that</w:t>
      </w:r>
      <w:r>
        <w:t xml:space="preserve"> </w:t>
      </w:r>
      <w:r>
        <w:t xml:space="preserve">allows the random effect variance to differ by species (heteroscedasticity) and</w:t>
      </w:r>
      <w:r>
        <w:t xml:space="preserve"> </w:t>
      </w:r>
      <w:r>
        <w:t xml:space="preserve">allows for non-zero correlations between species-level effects within the same</w:t>
      </w:r>
      <w:r>
        <w:t xml:space="preserve"> </w:t>
      </w:r>
      <w:r>
        <w:t xml:space="preserve">plot (e.g., assessing if plots that are favorable for one species are also</w:t>
      </w:r>
      <w:r>
        <w:t xml:space="preserve"> </w:t>
      </w:r>
      <w:r>
        <w:t xml:space="preserve">favorable for others). This variance-covariance matrix takes the following form,</w:t>
      </w:r>
      <w:r>
        <w:t xml:space="preserve"> </w:t>
      </w:r>
      <w:r>
        <w:t xml:space="preserve">where</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represent different species.</w:t>
      </w:r>
    </w:p>
    <w:p>
      <w:pPr>
        <w:pStyle w:val="BodyText"/>
      </w:pPr>
      <m:oMathPara>
        <m:oMathParaPr>
          <m:jc m:val="center"/>
        </m:oMathParaPr>
        <m:oMath>
          <m:sSub>
            <m:e>
              <m:r>
                <m:rPr>
                  <m:sty m:val="b"/>
                </m:rPr>
                <m:t>Σ</m:t>
              </m:r>
            </m:e>
            <m:sub>
              <m:r>
                <m:rPr>
                  <m:nor/>
                  <m:sty m:val="p"/>
                </m:rPr>
                <m:t>macro</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sSubSup>
                      <m:e>
                        <m:r>
                          <m:t>σ</m:t>
                        </m:r>
                      </m:e>
                      <m:sub>
                        <m:r>
                          <m:t>A</m:t>
                        </m:r>
                      </m:sub>
                      <m:sup>
                        <m:r>
                          <m:t>2</m:t>
                        </m:r>
                      </m:sup>
                    </m:sSubSup>
                  </m:e>
                  <m:e>
                    <m:sSub>
                      <m:e>
                        <m:r>
                          <m:t>ρ</m:t>
                        </m:r>
                      </m:e>
                      <m:sub>
                        <m:r>
                          <m:t>A</m:t>
                        </m:r>
                        <m:r>
                          <m:t>B</m:t>
                        </m:r>
                      </m:sub>
                    </m:sSub>
                    <m:sSub>
                      <m:e>
                        <m:r>
                          <m:t>σ</m:t>
                        </m:r>
                      </m:e>
                      <m:sub>
                        <m:r>
                          <m:t>A</m:t>
                        </m:r>
                      </m:sub>
                    </m:sSub>
                    <m:sSub>
                      <m:e>
                        <m:r>
                          <m:t>σ</m:t>
                        </m:r>
                      </m:e>
                      <m:sub>
                        <m:r>
                          <m:t>B</m:t>
                        </m:r>
                      </m:sub>
                    </m:sSub>
                  </m:e>
                  <m:e>
                    <m:sSub>
                      <m:e>
                        <m:r>
                          <m:t>ρ</m:t>
                        </m:r>
                      </m:e>
                      <m:sub>
                        <m:r>
                          <m:t>A</m:t>
                        </m:r>
                        <m:r>
                          <m:t>C</m:t>
                        </m:r>
                      </m:sub>
                    </m:sSub>
                    <m:sSub>
                      <m:e>
                        <m:r>
                          <m:t>σ</m:t>
                        </m:r>
                      </m:e>
                      <m:sub>
                        <m:r>
                          <m:t>A</m:t>
                        </m:r>
                      </m:sub>
                    </m:sSub>
                    <m:sSub>
                      <m:e>
                        <m:r>
                          <m:t>σ</m:t>
                        </m:r>
                      </m:e>
                      <m:sub>
                        <m:r>
                          <m:t>C</m:t>
                        </m:r>
                      </m:sub>
                    </m:sSub>
                  </m:e>
                </m:mr>
                <m:mr>
                  <m:e>
                    <m:sSub>
                      <m:e>
                        <m:r>
                          <m:t>ρ</m:t>
                        </m:r>
                      </m:e>
                      <m:sub>
                        <m:r>
                          <m:t>A</m:t>
                        </m:r>
                        <m:r>
                          <m:t>B</m:t>
                        </m:r>
                      </m:sub>
                    </m:sSub>
                    <m:sSub>
                      <m:e>
                        <m:r>
                          <m:t>σ</m:t>
                        </m:r>
                      </m:e>
                      <m:sub>
                        <m:r>
                          <m:t>A</m:t>
                        </m:r>
                      </m:sub>
                    </m:sSub>
                    <m:sSub>
                      <m:e>
                        <m:r>
                          <m:t>σ</m:t>
                        </m:r>
                      </m:e>
                      <m:sub>
                        <m:r>
                          <m:t>B</m:t>
                        </m:r>
                      </m:sub>
                    </m:sSub>
                  </m:e>
                  <m:e>
                    <m:sSubSup>
                      <m:e>
                        <m:r>
                          <m:t>σ</m:t>
                        </m:r>
                      </m:e>
                      <m:sub>
                        <m:r>
                          <m:t>B</m:t>
                        </m:r>
                      </m:sub>
                      <m:sup>
                        <m:r>
                          <m:t>2</m:t>
                        </m:r>
                      </m:sup>
                    </m:sSubSup>
                  </m:e>
                  <m:e>
                    <m:sSub>
                      <m:e>
                        <m:r>
                          <m:t>ρ</m:t>
                        </m:r>
                      </m:e>
                      <m:sub>
                        <m:r>
                          <m:t>B</m:t>
                        </m:r>
                        <m:r>
                          <m:t>C</m:t>
                        </m:r>
                      </m:sub>
                    </m:sSub>
                    <m:sSub>
                      <m:e>
                        <m:r>
                          <m:t>σ</m:t>
                        </m:r>
                      </m:e>
                      <m:sub>
                        <m:r>
                          <m:t>B</m:t>
                        </m:r>
                      </m:sub>
                    </m:sSub>
                    <m:sSub>
                      <m:e>
                        <m:r>
                          <m:t>σ</m:t>
                        </m:r>
                      </m:e>
                      <m:sub>
                        <m:r>
                          <m:t>C</m:t>
                        </m:r>
                      </m:sub>
                    </m:sSub>
                  </m:e>
                </m:mr>
                <m:mr>
                  <m:e>
                    <m:sSub>
                      <m:e>
                        <m:r>
                          <m:t>ρ</m:t>
                        </m:r>
                      </m:e>
                      <m:sub>
                        <m:r>
                          <m:t>A</m:t>
                        </m:r>
                        <m:r>
                          <m:t>C</m:t>
                        </m:r>
                      </m:sub>
                    </m:sSub>
                    <m:sSub>
                      <m:e>
                        <m:r>
                          <m:t>σ</m:t>
                        </m:r>
                      </m:e>
                      <m:sub>
                        <m:r>
                          <m:t>A</m:t>
                        </m:r>
                      </m:sub>
                    </m:sSub>
                    <m:sSub>
                      <m:e>
                        <m:r>
                          <m:t>σ</m:t>
                        </m:r>
                      </m:e>
                      <m:sub>
                        <m:r>
                          <m:t>C</m:t>
                        </m:r>
                      </m:sub>
                    </m:sSub>
                  </m:e>
                  <m:e>
                    <m:sSub>
                      <m:e>
                        <m:r>
                          <m:t>ρ</m:t>
                        </m:r>
                      </m:e>
                      <m:sub>
                        <m:r>
                          <m:t>B</m:t>
                        </m:r>
                        <m:r>
                          <m:t>C</m:t>
                        </m:r>
                      </m:sub>
                    </m:sSub>
                    <m:sSub>
                      <m:e>
                        <m:r>
                          <m:t>σ</m:t>
                        </m:r>
                      </m:e>
                      <m:sub>
                        <m:r>
                          <m:t>B</m:t>
                        </m:r>
                      </m:sub>
                    </m:sSub>
                    <m:sSub>
                      <m:e>
                        <m:r>
                          <m:t>σ</m:t>
                        </m:r>
                      </m:e>
                      <m:sub>
                        <m:r>
                          <m:t>C</m:t>
                        </m:r>
                      </m:sub>
                    </m:sSub>
                  </m:e>
                  <m:e>
                    <m:sSubSup>
                      <m:e>
                        <m:r>
                          <m:t>σ</m:t>
                        </m:r>
                      </m:e>
                      <m:sub>
                        <m:r>
                          <m:t>C</m:t>
                        </m:r>
                      </m:sub>
                      <m:sup>
                        <m:r>
                          <m:t>2</m:t>
                        </m:r>
                      </m:sup>
                    </m:sSubSup>
                  </m:e>
                </m:mr>
              </m:m>
            </m:e>
          </m:d>
        </m:oMath>
      </m:oMathPara>
    </w:p>
    <w:bookmarkStart w:id="82"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1"/>
        </w:tc>
      </w:tr>
    </w:tbl>
    <w:p>
      <w:pPr>
        <w:pStyle w:val="FirstParagraph"/>
      </w:pPr>
      <m:oMathPara>
        <m:oMathParaPr>
          <m:jc m:val="center"/>
        </m:oMathParaPr>
        <m:oMath>
          <m:sSub>
            <m:e>
              <m:r>
                <m:t>Y</m:t>
              </m:r>
            </m:e>
            <m:sub>
              <m:r>
                <m:t>i</m:t>
              </m:r>
            </m:sub>
          </m:sSub>
          <m:r>
            <m:rPr>
              <m:sty m:val="p"/>
            </m:rPr>
            <m:t>∼</m:t>
          </m:r>
          <m:r>
            <m:rPr>
              <m:sty m:val="p"/>
            </m:rPr>
            <m:t>N</m:t>
          </m:r>
          <m:d>
            <m:dPr>
              <m:begChr m:val="("/>
              <m:sepChr m:val=""/>
              <m:endChr m:val=")"/>
              <m:grow/>
            </m:dPr>
            <m:e>
              <m:sSub>
                <m:e>
                  <m:r>
                    <m:t>μ</m:t>
                  </m:r>
                </m:e>
                <m:sub>
                  <m:r>
                    <m:t>i</m:t>
                  </m:r>
                </m:sub>
              </m:sSub>
              <m:r>
                <m:rPr>
                  <m:sty m:val="p"/>
                </m:rPr>
                <m:t>,</m:t>
              </m:r>
              <m:sSubSup>
                <m:e>
                  <m:r>
                    <m:t>σ</m:t>
                  </m:r>
                </m:e>
                <m:sub>
                  <m:r>
                    <m:t>i</m:t>
                  </m:r>
                </m:sub>
                <m:sup>
                  <m:r>
                    <m:t>2</m:t>
                  </m:r>
                </m:sup>
              </m:sSubSup>
            </m:e>
          </m:d>
        </m:oMath>
      </m:oMathPara>
    </w:p>
    <w:p>
      <w:pPr>
        <w:pStyle w:val="FirstParagraph"/>
      </w:pPr>
      <m:oMathPara>
        <m:oMathParaPr>
          <m:jc m:val="center"/>
        </m:oMathParaPr>
        <m:oMath>
          <m:sSub>
            <m:e>
              <m:r>
                <m:t>μ</m:t>
              </m:r>
            </m:e>
            <m:sub>
              <m:r>
                <m:t>i</m:t>
              </m:r>
            </m:sub>
          </m:sSub>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Sup>
            <m:e>
              <m:r>
                <m:t>β</m:t>
              </m:r>
            </m:e>
            <m:sub>
              <m:r>
                <m:rPr>
                  <m:nor/>
                  <m:sty m:val="p"/>
                </m:rPr>
                <m:t>year</m:t>
              </m:r>
            </m:sub>
            <m:sup>
              <m:r>
                <m:t>μ</m:t>
              </m:r>
            </m:sup>
          </m:sSubSup>
          <m:r>
            <m:rPr>
              <m:sty m:val="p"/>
            </m:rPr>
            <m:t>⋅</m:t>
          </m:r>
          <m:sSub>
            <m:e>
              <m:r>
                <m:rPr>
                  <m:nor/>
                  <m:sty m:val="p"/>
                </m:rPr>
                <m:t>Year</m:t>
              </m:r>
            </m:e>
            <m:sub>
              <m:r>
                <m:t>i</m:t>
              </m:r>
            </m:sub>
          </m:sSub>
          <m:r>
            <m:rPr>
              <m:sty m:val="p"/>
            </m:rPr>
            <m:t>+</m:t>
          </m:r>
          <m:sSubSup>
            <m:e>
              <m:r>
                <m:t>β</m:t>
              </m:r>
            </m:e>
            <m:sub>
              <m:r>
                <m:rPr>
                  <m:nor/>
                  <m:sty m:val="p"/>
                </m:rPr>
                <m:t>spp</m:t>
              </m:r>
            </m:sub>
            <m:sup>
              <m:r>
                <m:t>μ</m:t>
              </m:r>
            </m:sup>
          </m:sSubSup>
          <m:r>
            <m:rPr>
              <m:sty m:val="p"/>
            </m:rPr>
            <m:t>⋅</m:t>
          </m:r>
          <m:sSub>
            <m:e>
              <m:r>
                <m:rPr>
                  <m:nor/>
                  <m:sty m:val="p"/>
                </m:rPr>
                <m:t>Spp</m:t>
              </m:r>
            </m:e>
            <m:sub>
              <m:r>
                <m:t>i</m:t>
              </m:r>
            </m:sub>
          </m:sSub>
          <m:r>
            <m:rPr>
              <m:sty m:val="p"/>
            </m:rPr>
            <m:t>+</m:t>
          </m:r>
          <m:sSubSup>
            <m:e>
              <m:r>
                <m:t>β</m:t>
              </m:r>
            </m:e>
            <m:sub>
              <m:r>
                <m:rPr>
                  <m:nor/>
                  <m:sty m:val="p"/>
                </m:rPr>
                <m:t>spp:year</m:t>
              </m:r>
            </m:sub>
            <m:sup>
              <m:r>
                <m:t>μ</m:t>
              </m:r>
            </m:sup>
          </m:sSubSup>
          <m:d>
            <m:dPr>
              <m:begChr m:val="("/>
              <m:sepChr m:val=""/>
              <m:endChr m:val=")"/>
              <m:grow/>
            </m:dPr>
            <m:e>
              <m:sSub>
                <m:e>
                  <m:r>
                    <m:rPr>
                      <m:nor/>
                      <m:sty m:val="p"/>
                    </m:rPr>
                    <m:t>Spp</m:t>
                  </m:r>
                </m:e>
                <m:sub>
                  <m:r>
                    <m:t>i</m:t>
                  </m:r>
                </m:sub>
              </m:sSub>
              <m:r>
                <m:rPr>
                  <m:sty m:val="p"/>
                </m:rPr>
                <m:t>×</m:t>
              </m:r>
              <m:sSub>
                <m:e>
                  <m:r>
                    <m:rPr>
                      <m:nor/>
                      <m:sty m:val="p"/>
                    </m:rPr>
                    <m:t>Year</m:t>
                  </m:r>
                </m:e>
                <m:sub>
                  <m:r>
                    <m:t>i</m:t>
                  </m:r>
                </m:sub>
              </m:sSub>
            </m:e>
          </m:d>
          <m:r>
            <m:rPr>
              <m:sty m:val="p"/>
            </m:rPr>
            <m:t>+</m:t>
          </m:r>
          <m:sSub>
            <m:e>
              <m:r>
                <m:t>α</m:t>
              </m:r>
            </m:e>
            <m:sub>
              <m:r>
                <m:rPr>
                  <m:nor/>
                  <m:sty m:val="p"/>
                </m:rPr>
                <m:t>tree</m:t>
              </m:r>
              <m:d>
                <m:dPr>
                  <m:begChr m:val="["/>
                  <m:sepChr m:val=""/>
                  <m:endChr m:val="]"/>
                  <m:grow/>
                </m:dPr>
                <m:e>
                  <m:r>
                    <m:t>i</m:t>
                  </m:r>
                </m:e>
              </m:d>
            </m:sub>
          </m:sSub>
          <m:r>
            <m:rPr>
              <m:sty m:val="p"/>
            </m:rPr>
            <m:t>+</m:t>
          </m:r>
          <m:sSub>
            <m:e>
              <m:r>
                <m:t>α</m:t>
              </m:r>
            </m:e>
            <m:sub>
              <m:r>
                <m:rPr>
                  <m:nor/>
                  <m:sty m:val="p"/>
                </m:rPr>
                <m:t>macro</m:t>
              </m:r>
              <m:d>
                <m:dPr>
                  <m:begChr m:val="["/>
                  <m:sepChr m:val=""/>
                  <m:endChr m:val="]"/>
                  <m:grow/>
                </m:dPr>
                <m:e>
                  <m:r>
                    <m:t>i</m:t>
                  </m:r>
                </m:e>
              </m:d>
              <m:r>
                <m:rPr>
                  <m:sty m:val="p"/>
                </m:rPr>
                <m:t>,</m:t>
              </m:r>
              <m:r>
                <m:rPr>
                  <m:nor/>
                  <m:sty m:val="p"/>
                </m:rPr>
                <m:t>spp</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σ</m:t>
                  </m:r>
                </m:e>
                <m:sub>
                  <m:r>
                    <m:t>i</m:t>
                  </m:r>
                </m:sub>
              </m:sSub>
            </m:e>
          </m:d>
          <m:r>
            <m:rPr>
              <m:sty m:val="p"/>
            </m:rPr>
            <m:t>=</m:t>
          </m:r>
          <m:sSubSup>
            <m:e>
              <m:r>
                <m:t>β</m:t>
              </m:r>
            </m:e>
            <m:sub>
              <m:r>
                <m:t>0</m:t>
              </m:r>
            </m:sub>
            <m:sup>
              <m:r>
                <m:t>σ</m:t>
              </m:r>
            </m:sup>
          </m:sSubSup>
          <m:r>
            <m:rPr>
              <m:sty m:val="p"/>
            </m:rPr>
            <m:t>+</m:t>
          </m:r>
          <m:sSubSup>
            <m:e>
              <m:r>
                <m:t>β</m:t>
              </m:r>
            </m:e>
            <m:sub>
              <m:r>
                <m:rPr>
                  <m:nor/>
                  <m:sty m:val="p"/>
                </m:rPr>
                <m:t>trt</m:t>
              </m:r>
            </m:sub>
            <m:sup>
              <m:r>
                <m:t>σ</m:t>
              </m:r>
            </m:sup>
          </m:sSubSup>
          <m:r>
            <m:rPr>
              <m:sty m:val="p"/>
            </m:rPr>
            <m:t>⋅</m:t>
          </m:r>
          <m:sSub>
            <m:e>
              <m:r>
                <m:rPr>
                  <m:nor/>
                  <m:sty m:val="p"/>
                </m:rPr>
                <m:t>Trt</m:t>
              </m:r>
            </m:e>
            <m:sub>
              <m:r>
                <m:t>i</m:t>
              </m:r>
            </m:sub>
          </m:sSub>
          <m:r>
            <m:rPr>
              <m:sty m:val="p"/>
            </m:rPr>
            <m:t>+</m:t>
          </m:r>
          <m:sSubSup>
            <m:e>
              <m:r>
                <m:t>β</m:t>
              </m:r>
            </m:e>
            <m:sub>
              <m:r>
                <m:rPr>
                  <m:nor/>
                  <m:sty m:val="p"/>
                </m:rPr>
                <m:t>yr</m:t>
              </m:r>
            </m:sub>
            <m:sup>
              <m:r>
                <m:t>σ</m:t>
              </m:r>
            </m:sup>
          </m:sSubSup>
          <m:r>
            <m:rPr>
              <m:sty m:val="p"/>
            </m:rPr>
            <m:t>⋅</m:t>
          </m:r>
          <m:sSub>
            <m:e>
              <m:r>
                <m:rPr>
                  <m:nor/>
                  <m:sty m:val="p"/>
                </m:rPr>
                <m:t>Year</m:t>
              </m:r>
            </m:e>
            <m:sub>
              <m:r>
                <m:t>i</m:t>
              </m:r>
            </m:sub>
          </m:sSub>
          <m:r>
            <m:rPr>
              <m:sty m:val="p"/>
            </m:rPr>
            <m:t>+</m:t>
          </m:r>
          <m:sSubSup>
            <m:e>
              <m:r>
                <m:t>β</m:t>
              </m:r>
            </m:e>
            <m:sub>
              <m:r>
                <m:rPr>
                  <m:nor/>
                  <m:sty m:val="p"/>
                </m:rPr>
                <m:t>spp</m:t>
              </m:r>
            </m:sub>
            <m:sup>
              <m:r>
                <m:t>σ</m:t>
              </m:r>
            </m:sup>
          </m:sSubSup>
          <m:r>
            <m:rPr>
              <m:sty m:val="p"/>
            </m:rPr>
            <m:t>⋅</m:t>
          </m:r>
          <m:sSub>
            <m:e>
              <m:r>
                <m:rPr>
                  <m:nor/>
                  <m:sty m:val="p"/>
                </m:rPr>
                <m:t>Spp</m:t>
              </m:r>
            </m:e>
            <m:sub>
              <m:r>
                <m:t>i</m:t>
              </m:r>
            </m:sub>
          </m:sSub>
          <m:r>
            <m:rPr>
              <m:sty m:val="p"/>
            </m:rPr>
            <m:t>+</m:t>
          </m:r>
          <m:r>
            <m:rPr>
              <m:sty m:val="p"/>
            </m:rPr>
            <m:t>…</m:t>
          </m:r>
          <m:r>
            <m:rPr>
              <m:sty m:val="p"/>
            </m:rPr>
            <m:t>+</m:t>
          </m:r>
          <m:sSubSup>
            <m:e>
              <m:r>
                <m:t>β</m:t>
              </m:r>
            </m:e>
            <m:sub>
              <m:r>
                <m:rPr>
                  <m:nor/>
                  <m:sty m:val="p"/>
                </m:rPr>
                <m:t>3way</m:t>
              </m:r>
            </m:sub>
            <m:sup>
              <m:r>
                <m:t>σ</m:t>
              </m:r>
            </m:sup>
          </m:sSubSup>
          <m:d>
            <m:dPr>
              <m:begChr m:val="("/>
              <m:sepChr m:val=""/>
              <m:endChr m:val=")"/>
              <m:grow/>
            </m:dPr>
            <m:e>
              <m:sSub>
                <m:e>
                  <m:r>
                    <m:rPr>
                      <m:nor/>
                      <m:sty m:val="p"/>
                    </m:rPr>
                    <m:t>Trt</m:t>
                  </m:r>
                </m:e>
                <m:sub>
                  <m:r>
                    <m:t>i</m:t>
                  </m:r>
                </m:sub>
              </m:sSub>
              <m:r>
                <m:rPr>
                  <m:sty m:val="p"/>
                </m:rPr>
                <m:t>×</m:t>
              </m:r>
              <m:sSub>
                <m:e>
                  <m:r>
                    <m:rPr>
                      <m:nor/>
                      <m:sty m:val="p"/>
                    </m:rPr>
                    <m:t>Year</m:t>
                  </m:r>
                </m:e>
                <m:sub>
                  <m:r>
                    <m:t>i</m:t>
                  </m:r>
                </m:sub>
              </m:sSub>
              <m:r>
                <m:rPr>
                  <m:sty m:val="p"/>
                </m:rPr>
                <m:t>×</m:t>
              </m:r>
              <m:sSub>
                <m:e>
                  <m:r>
                    <m:rPr>
                      <m:nor/>
                      <m:sty m:val="p"/>
                    </m:rPr>
                    <m:t>Spp</m:t>
                  </m:r>
                </m:e>
                <m:sub>
                  <m:r>
                    <m:t>i</m:t>
                  </m:r>
                </m:sub>
              </m:sSub>
            </m:e>
          </m:d>
        </m:oMath>
      </m:oMathPara>
    </w:p>
    <w:p>
      <w:pPr>
        <w:pStyle w:val="FirstParagraph"/>
      </w:pPr>
      <m:oMathPara>
        <m:oMathParaPr>
          <m:jc m:val="center"/>
        </m:oMathParaPr>
        <m:oMath>
          <m:sSub>
            <m:e>
              <m:r>
                <m:t>α</m:t>
              </m:r>
            </m:e>
            <m:sub>
              <m:r>
                <m:rPr>
                  <m:nor/>
                  <m:sty m:val="p"/>
                </m:rPr>
                <m:t>tree</m:t>
              </m:r>
            </m:sub>
          </m:sSub>
          <m:r>
            <m:rPr>
              <m:sty m:val="p"/>
            </m:rPr>
            <m:t>∼</m:t>
          </m:r>
          <m:r>
            <m:t>N</m:t>
          </m:r>
          <m:d>
            <m:dPr>
              <m:begChr m:val="("/>
              <m:sepChr m:val=""/>
              <m:endChr m:val=")"/>
              <m:grow/>
            </m:dPr>
            <m:e>
              <m:r>
                <m:t>0</m:t>
              </m:r>
              <m:r>
                <m:rPr>
                  <m:sty m:val="p"/>
                </m:rPr>
                <m:t>,</m:t>
              </m:r>
              <m:sSubSup>
                <m:e>
                  <m:r>
                    <m:t>σ</m:t>
                  </m:r>
                </m:e>
                <m:sub>
                  <m:r>
                    <m:rPr>
                      <m:nor/>
                      <m:sty m:val="p"/>
                    </m:rPr>
                    <m:t>tree</m:t>
                  </m:r>
                </m:sub>
                <m:sup>
                  <m:r>
                    <m:t>2</m:t>
                  </m:r>
                </m:sup>
              </m:sSubSup>
            </m:e>
          </m:d>
        </m:oMath>
      </m:oMathPara>
    </w:p>
    <w:p>
      <w:pPr>
        <w:pStyle w:val="FirstParagraph"/>
      </w:pPr>
      <m:oMathPara>
        <m:oMathParaPr>
          <m:jc m:val="center"/>
        </m:oMathParaPr>
        <m:oMath>
          <m:sSub>
            <m:e>
              <m:r>
                <m:t>α</m:t>
              </m:r>
            </m:e>
            <m:sub>
              <m:r>
                <m:rPr>
                  <m:nor/>
                  <m:sty m:val="p"/>
                </m:rPr>
                <m:t>macro</m:t>
              </m:r>
              <m:r>
                <m:rPr>
                  <m:sty m:val="p"/>
                </m:rPr>
                <m:t>,</m:t>
              </m:r>
              <m:r>
                <m:rPr>
                  <m:nor/>
                  <m:sty m:val="p"/>
                </m:rPr>
                <m:t>spp</m:t>
              </m:r>
            </m:sub>
          </m:sSub>
          <m:r>
            <m:rPr>
              <m:sty m:val="p"/>
            </m:rPr>
            <m:t>=</m:t>
          </m:r>
          <m:d>
            <m:dPr>
              <m:begChr m:val="("/>
              <m:sepChr m:val=""/>
              <m:endChr m:val=")"/>
              <m:grow/>
            </m:dPr>
            <m:e>
              <m:m>
                <m:mPr>
                  <m:baseJc m:val="center"/>
                  <m:plcHide m:val="on"/>
                  <m:mcs>
                    <m:mc>
                      <m:mcPr>
                        <m:mcJc m:val="center"/>
                        <m:count m:val="1"/>
                      </m:mcPr>
                    </m:mc>
                  </m:mcs>
                </m:mPr>
                <m:mr>
                  <m:e>
                    <m:sSub>
                      <m:e>
                        <m:r>
                          <m:t>α</m:t>
                        </m:r>
                      </m:e>
                      <m:sub>
                        <m:sSub>
                          <m:e>
                            <m:r>
                              <m:rPr>
                                <m:nor/>
                                <m:sty m:val="p"/>
                              </m:rPr>
                              <m:t>macro</m:t>
                            </m:r>
                          </m:e>
                          <m:sub>
                            <m:r>
                              <m:t>1</m:t>
                            </m:r>
                          </m:sub>
                        </m:sSub>
                        <m:r>
                          <m:rPr>
                            <m:sty m:val="p"/>
                          </m:rPr>
                          <m:t>,</m:t>
                        </m:r>
                        <m:sSub>
                          <m:e>
                            <m:r>
                              <m:rPr>
                                <m:nor/>
                                <m:sty m:val="p"/>
                              </m:rPr>
                              <m:t>spp</m:t>
                            </m:r>
                          </m:e>
                          <m:sub>
                            <m:r>
                              <m:t>1</m:t>
                            </m:r>
                          </m:sub>
                        </m:sSub>
                      </m:sub>
                    </m:sSub>
                  </m:e>
                </m:mr>
                <m:mr>
                  <m:e>
                    <m:sSub>
                      <m:e>
                        <m:r>
                          <m:t>α</m:t>
                        </m:r>
                      </m:e>
                      <m:sub>
                        <m:sSub>
                          <m:e>
                            <m:r>
                              <m:rPr>
                                <m:nor/>
                                <m:sty m:val="p"/>
                              </m:rPr>
                              <m:t>macro</m:t>
                            </m:r>
                          </m:e>
                          <m:sub>
                            <m:r>
                              <m:t>1</m:t>
                            </m:r>
                          </m:sub>
                        </m:sSub>
                        <m:r>
                          <m:rPr>
                            <m:sty m:val="p"/>
                          </m:rPr>
                          <m:t>,</m:t>
                        </m:r>
                        <m:sSub>
                          <m:e>
                            <m:r>
                              <m:rPr>
                                <m:nor/>
                                <m:sty m:val="p"/>
                              </m:rPr>
                              <m:t>spp</m:t>
                            </m:r>
                          </m:e>
                          <m:sub>
                            <m:r>
                              <m:t>2</m:t>
                            </m:r>
                          </m:sub>
                        </m:sSub>
                      </m:sub>
                    </m:sSub>
                  </m:e>
                </m:mr>
                <m:mr>
                  <m:e>
                    <m:r>
                      <m:rPr>
                        <m:sty m:val="p"/>
                      </m:rPr>
                      <m:t>⋮</m:t>
                    </m:r>
                  </m:e>
                </m:mr>
                <m:mr>
                  <m:e>
                    <m:sSub>
                      <m:e>
                        <m:r>
                          <m:t>α</m:t>
                        </m:r>
                      </m:e>
                      <m:sub>
                        <m:sSub>
                          <m:e>
                            <m:r>
                              <m:rPr>
                                <m:nor/>
                                <m:sty m:val="p"/>
                              </m:rPr>
                              <m:t>macro</m:t>
                            </m:r>
                          </m:e>
                          <m:sub>
                            <m:r>
                              <m:t>j</m:t>
                            </m:r>
                          </m:sub>
                        </m:sSub>
                        <m:r>
                          <m:rPr>
                            <m:sty m:val="p"/>
                          </m:rPr>
                          <m:t>,</m:t>
                        </m:r>
                        <m:sSub>
                          <m:e>
                            <m:r>
                              <m:rPr>
                                <m:nor/>
                                <m:sty m:val="p"/>
                              </m:rPr>
                              <m:t>spp</m:t>
                            </m:r>
                          </m:e>
                          <m:sub>
                            <m:r>
                              <m:t>k</m:t>
                            </m:r>
                          </m:sub>
                        </m:sSub>
                      </m:sub>
                    </m:sSub>
                  </m:e>
                </m:mr>
              </m:m>
            </m:e>
          </m:d>
          <m:r>
            <m:rPr>
              <m:sty m:val="p"/>
            </m:rPr>
            <m:t>∼</m:t>
          </m:r>
          <m:r>
            <m:rPr>
              <m:sty m:val="p"/>
            </m:rPr>
            <m:t>N</m:t>
          </m:r>
          <m:d>
            <m:dPr>
              <m:begChr m:val="("/>
              <m:sepChr m:val=""/>
              <m:endChr m:val=")"/>
              <m:grow/>
            </m:dPr>
            <m:e>
              <m:r>
                <m:rPr>
                  <m:sty m:val="b"/>
                </m:rPr>
                <m:t>0</m:t>
              </m:r>
              <m:r>
                <m:rPr>
                  <m:sty m:val="p"/>
                </m:rPr>
                <m:t>,</m:t>
              </m:r>
              <m:sSub>
                <m:e>
                  <m:r>
                    <m:rPr>
                      <m:sty m:val="b"/>
                    </m:rPr>
                    <m:t>Σ</m:t>
                  </m:r>
                </m:e>
                <m:sub>
                  <m:r>
                    <m:rPr>
                      <m:nor/>
                      <m:sty m:val="p"/>
                    </m:rPr>
                    <m:t>macro</m:t>
                  </m:r>
                </m:sub>
              </m:sSub>
            </m:e>
          </m:d>
        </m:oMath>
      </m:oMathPara>
    </w:p>
    <w:p>
      <w:pPr>
        <w:pStyle w:val="Compact"/>
        <w:numPr>
          <w:ilvl w:val="0"/>
          <w:numId w:val="1003"/>
        </w:numPr>
      </w:pPr>
      <m:oMath>
        <m:sSub>
          <m:e>
            <m:r>
              <m:t>Y</m:t>
            </m:r>
          </m:e>
          <m:sub>
            <m:r>
              <m:t>i</m:t>
            </m:r>
          </m:sub>
        </m:sSub>
      </m:oMath>
      <w:r>
        <w:t xml:space="preserve">: Height increment (m yr</w:t>
      </w:r>
      <w:r>
        <w:rPr>
          <w:vertAlign w:val="superscript"/>
        </w:rPr>
        <w:t xml:space="preserve">-1</w:t>
      </w:r>
      <w:r>
        <w:t xml:space="preserve">) for sprout observation</w:t>
      </w:r>
      <w:r>
        <w:t xml:space="preserve"> </w:t>
      </w:r>
      <m:oMath>
        <m:r>
          <m:t>i</m:t>
        </m:r>
      </m:oMath>
      <w:r>
        <w:t xml:space="preserve">.</w:t>
      </w:r>
    </w:p>
    <w:p>
      <w:pPr>
        <w:pStyle w:val="Compact"/>
        <w:numPr>
          <w:ilvl w:val="0"/>
          <w:numId w:val="1003"/>
        </w:numPr>
      </w:pPr>
      <m:oMath>
        <m:sSub>
          <m:e>
            <m:r>
              <m:t>μ</m:t>
            </m:r>
          </m:e>
          <m:sub>
            <m:r>
              <m:t>i</m:t>
            </m:r>
          </m:sub>
        </m:sSub>
      </m:oMath>
      <w:r>
        <w:t xml:space="preserve">: Mean height increment for observation</w:t>
      </w:r>
      <w:r>
        <w:t xml:space="preserve"> </w:t>
      </w:r>
      <m:oMath>
        <m:r>
          <m:t>i</m:t>
        </m:r>
      </m:oMath>
      <w:r>
        <w:t xml:space="preserve">.</w:t>
      </w:r>
    </w:p>
    <w:p>
      <w:pPr>
        <w:pStyle w:val="Compact"/>
        <w:numPr>
          <w:ilvl w:val="0"/>
          <w:numId w:val="1003"/>
        </w:numPr>
      </w:pPr>
      <m:oMath>
        <m:sSubSup>
          <m:e>
            <m:r>
              <m:t>σ</m:t>
            </m:r>
          </m:e>
          <m:sub>
            <m:r>
              <m:t>i</m:t>
            </m:r>
          </m:sub>
          <m:sup>
            <m:r>
              <m:t>2</m:t>
            </m:r>
          </m:sup>
        </m:sSubSup>
      </m:oMath>
      <w:r>
        <w:t xml:space="preserve">: Variance of height increment for observation</w:t>
      </w:r>
      <w:r>
        <w:t xml:space="preserve"> </w:t>
      </w:r>
      <m:oMath>
        <m:r>
          <m:t>i</m:t>
        </m:r>
      </m:oMath>
      <w:r>
        <w:t xml:space="preserve">.</w:t>
      </w:r>
    </w:p>
    <w:p>
      <w:pPr>
        <w:pStyle w:val="Compact"/>
        <w:numPr>
          <w:ilvl w:val="0"/>
          <w:numId w:val="1003"/>
        </w:numPr>
      </w:pPr>
      <m:oMath>
        <m:sSubSup>
          <m:e>
            <m:r>
              <m:t>α</m:t>
            </m:r>
          </m:e>
          <m:sub>
            <m:r>
              <m:rPr>
                <m:nor/>
                <m:sty m:val="p"/>
              </m:rPr>
              <m:t>tree</m:t>
            </m:r>
          </m:sub>
          <m:sup>
            <m:r>
              <m:t>μ</m:t>
            </m:r>
          </m:sup>
        </m:sSubSup>
      </m:oMath>
      <w:r>
        <w:t xml:space="preserve">: Random intercept for tree.</w:t>
      </w:r>
    </w:p>
    <w:p>
      <w:pPr>
        <w:pStyle w:val="Compact"/>
        <w:numPr>
          <w:ilvl w:val="0"/>
          <w:numId w:val="1003"/>
        </w:numPr>
      </w:pPr>
      <m:oMath>
        <m:sSubSup>
          <m:e>
            <m:r>
              <m:t>α</m:t>
            </m:r>
          </m:e>
          <m:sub>
            <m:r>
              <m:rPr>
                <m:nor/>
                <m:sty m:val="p"/>
              </m:rPr>
              <m:t>macro</m:t>
            </m:r>
            <m:r>
              <m:rPr>
                <m:sty m:val="p"/>
              </m:rPr>
              <m:t>,</m:t>
            </m:r>
            <m:r>
              <m:rPr>
                <m:nor/>
                <m:sty m:val="p"/>
              </m:rPr>
              <m:t>spp</m:t>
            </m:r>
          </m:sub>
          <m:sup>
            <m:r>
              <m:t>μ</m:t>
            </m:r>
          </m:sup>
        </m:sSubSup>
      </m:oMath>
      <w:r>
        <w:t xml:space="preserve">: Random effect for species, co-varying</w:t>
      </w:r>
      <w:r>
        <w:t xml:space="preserve"> </w:t>
      </w:r>
      <w:r>
        <w:t xml:space="preserve">within macro plot.</w:t>
      </w:r>
    </w:p>
    <w:p>
      <w:pPr>
        <w:pStyle w:val="Compact"/>
        <w:numPr>
          <w:ilvl w:val="0"/>
          <w:numId w:val="1003"/>
        </w:numPr>
      </w:pPr>
      <m:oMath>
        <m:sSub>
          <m:e>
            <m:r>
              <m:rPr>
                <m:sty m:val="b"/>
              </m:rPr>
              <m:t>Σ</m:t>
            </m:r>
          </m:e>
          <m:sub>
            <m:r>
              <m:rPr>
                <m:nor/>
                <m:sty m:val="p"/>
              </m:rPr>
              <m:t>macro</m:t>
            </m:r>
          </m:sub>
        </m:sSub>
      </m:oMath>
      <w:r>
        <w:t xml:space="preserve">: Unstructured variance-covariance matrix for species</w:t>
      </w:r>
      <w:r>
        <w:t xml:space="preserve"> </w:t>
      </w:r>
      <w:r>
        <w:t xml:space="preserve">within macro plot.</w:t>
      </w:r>
    </w:p>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5" w:name="fig-sprout-ht-inc-treat"/>
          <w:p>
            <w:pPr>
              <w:pStyle w:val="Compact"/>
              <w:jc w:val="center"/>
            </w:pPr>
            <w:r>
              <w:drawing>
                <wp:inline>
                  <wp:extent cx="4620126" cy="3696101"/>
                  <wp:effectExtent b="0" l="0" r="0" t="0"/>
                  <wp:docPr descr="" title="" id="73" name="Picture"/>
                  <a:graphic>
                    <a:graphicData uri="http://schemas.openxmlformats.org/drawingml/2006/picture">
                      <pic:pic>
                        <pic:nvPicPr>
                          <pic:cNvPr descr="thesis/results_files/figure-docx/fig-sprout-ht-inc-treat-1.png" id="74"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5"/>
        </w:tc>
      </w:tr>
    </w:tbl>
    <w:tbl>
      <w:tblPr>
        <w:tblStyle w:val="Table"/>
        <w:tblW w:type="pct" w:w="5000"/>
        <w:tblLayout w:type="fixed"/>
        <w:tblLook w:firstRow="0" w:lastRow="0" w:firstColumn="0" w:lastColumn="0" w:noHBand="0" w:noVBand="0" w:val="0000"/>
      </w:tblPr>
      <w:tblGrid>
        <w:gridCol w:w="7920"/>
      </w:tblGrid>
      <w:tr>
        <w:tc>
          <w:tcPr/>
          <w:bookmarkStart w:id="76"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3542"/>
              <w:tblLayout w:type="fixed"/>
              <w:tblLook w:firstRow="1" w:lastRow="0" w:firstColumn="0" w:lastColumn="0" w:noHBand="0" w:noVBand="0" w:val="0020"/>
            </w:tblPr>
            <w:tblGrid>
              <w:gridCol w:w="660"/>
              <w:gridCol w:w="880"/>
              <w:gridCol w:w="990"/>
              <w:gridCol w:w="880"/>
              <w:gridCol w:w="1100"/>
              <w:gridCol w:w="1100"/>
            </w:tblGrid>
            <w:tr>
              <w:trPr>
                <w:tblHeader w:val="on"/>
              </w:trPr>
              <w:tc>
                <w:tcPr/>
                <w:p>
                  <w:pPr>
                    <w:pStyle w:val="Compact"/>
                    <w:jc w:val="center"/>
                  </w:pPr>
                  <w:r>
                    <w:t xml:space="preserve">Spp</w:t>
                  </w:r>
                </w:p>
              </w:tc>
              <w:tc>
                <w:tcPr/>
                <w:p>
                  <w:pPr>
                    <w:pStyle w:val="Compact"/>
                    <w:jc w:val="center"/>
                  </w:pPr>
                  <w:r>
                    <w:t xml:space="preserve">Treat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0.46</w:t>
                  </w:r>
                </w:p>
              </w:tc>
              <w:tc>
                <w:tcPr/>
                <w:p>
                  <w:pPr>
                    <w:pStyle w:val="Compact"/>
                    <w:jc w:val="center"/>
                  </w:pPr>
                  <w:r>
                    <w:t xml:space="preserve">0.66</w:t>
                  </w:r>
                </w:p>
              </w:tc>
            </w:tr>
          </w:tbl>
          <w:bookmarkEnd w:id="76"/>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0" w:name="fig-sprout-ht-inc-year"/>
          <w:p>
            <w:pPr>
              <w:pStyle w:val="Compact"/>
              <w:jc w:val="center"/>
            </w:pPr>
            <w:r>
              <w:drawing>
                <wp:inline>
                  <wp:extent cx="4620126" cy="3696101"/>
                  <wp:effectExtent b="0" l="0" r="0" t="0"/>
                  <wp:docPr descr="" title="" id="78" name="Picture"/>
                  <a:graphic>
                    <a:graphicData uri="http://schemas.openxmlformats.org/drawingml/2006/picture">
                      <pic:pic>
                        <pic:nvPicPr>
                          <pic:cNvPr descr="thesis/results_files/figure-docx/fig-sprout-ht-inc-year-1.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0"/>
        </w:tc>
      </w:tr>
    </w:tbl>
    <w:tbl>
      <w:tblPr>
        <w:tblStyle w:val="Table"/>
        <w:tblW w:type="pct" w:w="5000"/>
        <w:tblLayout w:type="fixed"/>
        <w:tblLook w:firstRow="0" w:lastRow="0" w:firstColumn="0" w:lastColumn="0" w:noHBand="0" w:noVBand="0" w:val="0000"/>
      </w:tblPr>
      <w:tblGrid>
        <w:gridCol w:w="7920"/>
      </w:tblGrid>
      <w:tr>
        <w:tc>
          <w:tcPr/>
          <w:bookmarkStart w:id="81"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3889"/>
              <w:tblLayout w:type="fixed"/>
              <w:tblLook w:firstRow="1" w:lastRow="0" w:firstColumn="0" w:lastColumn="0" w:noHBand="0" w:noVBand="0" w:val="0020"/>
            </w:tblPr>
            <w:tblGrid>
              <w:gridCol w:w="660"/>
              <w:gridCol w:w="770"/>
              <w:gridCol w:w="990"/>
              <w:gridCol w:w="880"/>
              <w:gridCol w:w="660"/>
              <w:gridCol w:w="1100"/>
              <w:gridCol w:w="110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TO</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TO</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RW</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RW</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1"/>
          <w:p/>
        </w:tc>
      </w:tr>
    </w:tbl>
    <w:bookmarkEnd w:id="82"/>
    <w:bookmarkStart w:id="9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3"/>
        </w:tc>
      </w:tr>
    </w:tbl>
    <w:p>
      <w:pPr>
        <w:pStyle w:val="FirstParagraph"/>
      </w:pPr>
      <m:oMathPara>
        <m:oMathParaPr>
          <m:jc m:val="center"/>
        </m:oMathParaPr>
        <m:oMath>
          <m:sSub>
            <m:e>
              <m:r>
                <m:t>Y</m:t>
              </m:r>
            </m:e>
            <m:sub>
              <m:r>
                <m:t>i</m:t>
              </m:r>
            </m:sub>
          </m:sSub>
          <m:r>
            <m:rPr>
              <m:sty m:val="p"/>
            </m:rPr>
            <m:t>∼</m:t>
          </m:r>
          <m:r>
            <m:rPr>
              <m:sty m:val="p"/>
            </m:rPr>
            <m:t>N</m:t>
          </m:r>
          <m:d>
            <m:dPr>
              <m:begChr m:val="("/>
              <m:sepChr m:val=""/>
              <m:endChr m:val=")"/>
              <m:grow/>
            </m:dPr>
            <m:e>
              <m:sSub>
                <m:e>
                  <m:r>
                    <m:t>μ</m:t>
                  </m:r>
                </m:e>
                <m:sub>
                  <m:r>
                    <m:t>i</m:t>
                  </m:r>
                </m:sub>
              </m:sSub>
              <m:r>
                <m:rPr>
                  <m:sty m:val="p"/>
                </m:rPr>
                <m:t>,</m:t>
              </m:r>
              <m:sSubSup>
                <m:e>
                  <m:r>
                    <m:t>σ</m:t>
                  </m:r>
                </m:e>
                <m:sub>
                  <m:r>
                    <m:t>i</m:t>
                  </m:r>
                </m:sub>
                <m:sup>
                  <m:r>
                    <m:t>2</m:t>
                  </m:r>
                </m:sup>
              </m:sSubSup>
            </m:e>
          </m:d>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Sup>
            <m:e>
              <m:r>
                <m:t>β</m:t>
              </m:r>
            </m:e>
            <m:sub>
              <m:r>
                <m:rPr>
                  <m:nor/>
                  <m:sty m:val="p"/>
                </m:rPr>
                <m:t>spp</m:t>
              </m:r>
            </m:sub>
            <m:sup>
              <m:r>
                <m:t>μ</m:t>
              </m:r>
            </m:sup>
          </m:sSubSup>
          <m:r>
            <m:rPr>
              <m:sty m:val="p"/>
            </m:rPr>
            <m:t>⋅</m:t>
          </m:r>
          <m:sSub>
            <m:e>
              <m:r>
                <m:rPr>
                  <m:nor/>
                  <m:sty m:val="p"/>
                </m:rPr>
                <m:t>Spp</m:t>
              </m:r>
            </m:e>
            <m:sub>
              <m:r>
                <m:t>i</m:t>
              </m:r>
            </m:sub>
          </m:sSub>
          <m:r>
            <m:rPr>
              <m:sty m:val="p"/>
            </m:rPr>
            <m:t>+</m:t>
          </m:r>
          <m:sSub>
            <m:e>
              <m:r>
                <m:t>α</m:t>
              </m:r>
            </m:e>
            <m:sub>
              <m:r>
                <m:rPr>
                  <m:nor/>
                  <m:sty m:val="p"/>
                </m:rPr>
                <m:t>spp</m:t>
              </m:r>
              <m:d>
                <m:dPr>
                  <m:begChr m:val="["/>
                  <m:sepChr m:val=""/>
                  <m:endChr m:val="]"/>
                  <m:grow/>
                </m:dPr>
                <m:e>
                  <m:r>
                    <m:t>i</m:t>
                  </m:r>
                </m:e>
              </m:d>
              <m:r>
                <m:rPr>
                  <m:sty m:val="p"/>
                </m:rPr>
                <m:t>,</m:t>
              </m:r>
              <m:r>
                <m:rPr>
                  <m:nor/>
                  <m:sty m:val="p"/>
                </m:rPr>
                <m:t>macro</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σ</m:t>
                  </m:r>
                </m:e>
                <m:sub>
                  <m:r>
                    <m:t>i</m:t>
                  </m:r>
                </m:sub>
              </m:sSub>
            </m:e>
          </m:d>
          <m:r>
            <m:rPr>
              <m:sty m:val="p"/>
            </m:rPr>
            <m:t>=</m:t>
          </m:r>
          <m:sSubSup>
            <m:e>
              <m:r>
                <m:t>β</m:t>
              </m:r>
            </m:e>
            <m:sub>
              <m:r>
                <m:t>0</m:t>
              </m:r>
            </m:sub>
            <m:sup>
              <m:r>
                <m:t>σ</m:t>
              </m:r>
            </m:sup>
          </m:sSubSup>
          <m:r>
            <m:rPr>
              <m:sty m:val="p"/>
            </m:rPr>
            <m:t>+</m:t>
          </m:r>
          <m:sSubSup>
            <m:e>
              <m:r>
                <m:t>β</m:t>
              </m:r>
            </m:e>
            <m:sub>
              <m:r>
                <m:rPr>
                  <m:nor/>
                  <m:sty m:val="p"/>
                </m:rPr>
                <m:t>trt</m:t>
              </m:r>
            </m:sub>
            <m:sup>
              <m:r>
                <m:t>σ</m:t>
              </m:r>
            </m:sup>
          </m:sSubSup>
          <m:r>
            <m:rPr>
              <m:sty m:val="p"/>
            </m:rPr>
            <m:t>⋅</m:t>
          </m:r>
          <m:sSub>
            <m:e>
              <m:r>
                <m:rPr>
                  <m:nor/>
                  <m:sty m:val="p"/>
                </m:rPr>
                <m:t>Trt</m:t>
              </m:r>
            </m:e>
            <m:sub>
              <m:r>
                <m:t>i</m:t>
              </m:r>
            </m:sub>
          </m:sSub>
          <m:r>
            <m:rPr>
              <m:sty m:val="p"/>
            </m:rPr>
            <m:t>+</m:t>
          </m:r>
          <m:sSubSup>
            <m:e>
              <m:r>
                <m:t>β</m:t>
              </m:r>
            </m:e>
            <m:sub>
              <m:r>
                <m:rPr>
                  <m:nor/>
                  <m:sty m:val="p"/>
                </m:rPr>
                <m:t>spp</m:t>
              </m:r>
            </m:sub>
            <m:sup>
              <m:r>
                <m:t>σ</m:t>
              </m:r>
            </m:sup>
          </m:sSubSup>
          <m:r>
            <m:rPr>
              <m:sty m:val="p"/>
            </m:rPr>
            <m:t>⋅</m:t>
          </m:r>
          <m:sSub>
            <m:e>
              <m:r>
                <m:rPr>
                  <m:nor/>
                  <m:sty m:val="p"/>
                </m:rPr>
                <m:t>Spp</m:t>
              </m:r>
            </m:e>
            <m:sub>
              <m:r>
                <m:t>i</m:t>
              </m:r>
            </m:sub>
          </m:sSub>
          <m:r>
            <m:rPr>
              <m:sty m:val="p"/>
            </m:rPr>
            <m:t>+</m:t>
          </m:r>
          <m:sSubSup>
            <m:e>
              <m:r>
                <m:t>β</m:t>
              </m:r>
            </m:e>
            <m:sub>
              <m:r>
                <m:rPr>
                  <m:nor/>
                  <m:sty m:val="p"/>
                </m:rPr>
                <m:t>trt:spp</m:t>
              </m:r>
            </m:sub>
            <m:sup>
              <m:r>
                <m:t>σ</m:t>
              </m:r>
            </m:sup>
          </m:sSubSup>
          <m:d>
            <m:dPr>
              <m:begChr m:val="("/>
              <m:sepChr m:val=""/>
              <m:endChr m:val=")"/>
              <m:grow/>
            </m:dPr>
            <m:e>
              <m:sSub>
                <m:e>
                  <m:r>
                    <m:rPr>
                      <m:nor/>
                      <m:sty m:val="p"/>
                    </m:rPr>
                    <m:t>Trt</m:t>
                  </m:r>
                </m:e>
                <m:sub>
                  <m:r>
                    <m:t>i</m:t>
                  </m:r>
                </m:sub>
              </m:sSub>
              <m:r>
                <m:rPr>
                  <m:sty m:val="p"/>
                </m:rPr>
                <m:t>×</m:t>
              </m:r>
              <m:sSub>
                <m:e>
                  <m:r>
                    <m:rPr>
                      <m:nor/>
                      <m:sty m:val="p"/>
                    </m:rPr>
                    <m:t>Spp</m:t>
                  </m:r>
                </m:e>
                <m:sub>
                  <m:r>
                    <m:t>i</m:t>
                  </m:r>
                </m:sub>
              </m:sSub>
            </m:e>
          </m:d>
        </m:oMath>
      </m:oMathPara>
    </w:p>
    <w:p>
      <w:pPr>
        <w:pStyle w:val="FirstParagraph"/>
      </w:pPr>
      <m:oMathPara>
        <m:oMathParaPr>
          <m:jc m:val="center"/>
        </m:oMathParaPr>
        <m:oMath>
          <m:sSub>
            <m:e>
              <m:r>
                <m:t>α</m:t>
              </m:r>
            </m:e>
            <m:sub>
              <m:r>
                <m:rPr>
                  <m:nor/>
                  <m:sty m:val="p"/>
                </m:rPr>
                <m:t>spp</m:t>
              </m:r>
              <m:r>
                <m:rPr>
                  <m:sty m:val="p"/>
                </m:rPr>
                <m:t>,</m:t>
              </m:r>
              <m:r>
                <m:rPr>
                  <m:nor/>
                  <m:sty m:val="p"/>
                </m:rPr>
                <m:t>macro</m:t>
              </m:r>
            </m:sub>
          </m:sSub>
          <m:r>
            <m:rPr>
              <m:sty m:val="p"/>
            </m:rPr>
            <m:t>=</m:t>
          </m:r>
          <m:d>
            <m:dPr>
              <m:begChr m:val="("/>
              <m:sepChr m:val=""/>
              <m:endChr m:val=")"/>
              <m:grow/>
            </m:dPr>
            <m:e>
              <m:m>
                <m:mPr>
                  <m:baseJc m:val="center"/>
                  <m:plcHide m:val="on"/>
                  <m:mcs>
                    <m:mc>
                      <m:mcPr>
                        <m:mcJc m:val="center"/>
                        <m:count m:val="1"/>
                      </m:mcPr>
                    </m:mc>
                  </m:mcs>
                </m:mPr>
                <m:mr>
                  <m:e>
                    <m:sSub>
                      <m:e>
                        <m:r>
                          <m:t>α</m:t>
                        </m:r>
                      </m:e>
                      <m:sub>
                        <m:sSub>
                          <m:e>
                            <m:r>
                              <m:rPr>
                                <m:nor/>
                                <m:sty m:val="p"/>
                              </m:rPr>
                              <m:t>spp</m:t>
                            </m:r>
                          </m:e>
                          <m:sub>
                            <m:r>
                              <m:t>1</m:t>
                            </m:r>
                          </m:sub>
                        </m:sSub>
                        <m:r>
                          <m:rPr>
                            <m:sty m:val="p"/>
                          </m:rPr>
                          <m:t>,</m:t>
                        </m:r>
                        <m:sSub>
                          <m:e>
                            <m:r>
                              <m:rPr>
                                <m:nor/>
                                <m:sty m:val="p"/>
                              </m:rPr>
                              <m:t>macro</m:t>
                            </m:r>
                          </m:e>
                          <m:sub>
                            <m:r>
                              <m:t>1</m:t>
                            </m:r>
                          </m:sub>
                        </m:sSub>
                      </m:sub>
                    </m:sSub>
                  </m:e>
                </m:mr>
                <m:mr>
                  <m:e>
                    <m:sSub>
                      <m:e>
                        <m:r>
                          <m:t>α</m:t>
                        </m:r>
                      </m:e>
                      <m:sub>
                        <m:sSub>
                          <m:e>
                            <m:r>
                              <m:rPr>
                                <m:nor/>
                                <m:sty m:val="p"/>
                              </m:rPr>
                              <m:t>spp</m:t>
                            </m:r>
                          </m:e>
                          <m:sub>
                            <m:r>
                              <m:t>1</m:t>
                            </m:r>
                          </m:sub>
                        </m:sSub>
                        <m:r>
                          <m:rPr>
                            <m:sty m:val="p"/>
                          </m:rPr>
                          <m:t>,</m:t>
                        </m:r>
                        <m:sSub>
                          <m:e>
                            <m:r>
                              <m:rPr>
                                <m:nor/>
                                <m:sty m:val="p"/>
                              </m:rPr>
                              <m:t>macro</m:t>
                            </m:r>
                          </m:e>
                          <m:sub>
                            <m:r>
                              <m:t>2</m:t>
                            </m:r>
                          </m:sub>
                        </m:sSub>
                      </m:sub>
                    </m:sSub>
                  </m:e>
                </m:mr>
                <m:mr>
                  <m:e>
                    <m:r>
                      <m:rPr>
                        <m:sty m:val="p"/>
                      </m:rPr>
                      <m:t>⋮</m:t>
                    </m:r>
                  </m:e>
                </m:mr>
                <m:mr>
                  <m:e>
                    <m:sSub>
                      <m:e>
                        <m:r>
                          <m:t>α</m:t>
                        </m:r>
                      </m:e>
                      <m:sub>
                        <m:sSub>
                          <m:e>
                            <m:r>
                              <m:rPr>
                                <m:nor/>
                                <m:sty m:val="p"/>
                              </m:rPr>
                              <m:t>spp</m:t>
                            </m:r>
                          </m:e>
                          <m:sub>
                            <m:r>
                              <m:t>j</m:t>
                            </m:r>
                          </m:sub>
                        </m:sSub>
                        <m:r>
                          <m:rPr>
                            <m:sty m:val="p"/>
                          </m:rPr>
                          <m:t>,</m:t>
                        </m:r>
                        <m:sSub>
                          <m:e>
                            <m:r>
                              <m:rPr>
                                <m:nor/>
                                <m:sty m:val="p"/>
                              </m:rPr>
                              <m:t>macro</m:t>
                            </m:r>
                          </m:e>
                          <m:sub>
                            <m:r>
                              <m:t>k</m:t>
                            </m:r>
                          </m:sub>
                        </m:sSub>
                      </m:sub>
                    </m:sSub>
                  </m:e>
                </m:mr>
              </m:m>
            </m:e>
          </m:d>
          <m:r>
            <m:rPr>
              <m:sty m:val="p"/>
            </m:rPr>
            <m:t>∼</m:t>
          </m:r>
          <m:r>
            <m:rPr>
              <m:sty m:val="p"/>
            </m:rPr>
            <m:t>N</m:t>
          </m:r>
          <m:d>
            <m:dPr>
              <m:begChr m:val="("/>
              <m:sepChr m:val=""/>
              <m:endChr m:val=")"/>
              <m:grow/>
            </m:dPr>
            <m:e>
              <m:r>
                <m:rPr>
                  <m:sty m:val="b"/>
                </m:rPr>
                <m:t>0</m:t>
              </m:r>
              <m:r>
                <m:rPr>
                  <m:sty m:val="p"/>
                </m:rPr>
                <m:t>,</m:t>
              </m:r>
              <m:sSub>
                <m:e>
                  <m:r>
                    <m:rPr>
                      <m:sty m:val="b"/>
                    </m:rPr>
                    <m:t>Σ</m:t>
                  </m:r>
                </m:e>
                <m:sub>
                  <m:r>
                    <m:rPr>
                      <m:nor/>
                      <m:sty m:val="p"/>
                    </m:rPr>
                    <m:t>spp</m:t>
                  </m:r>
                  <m:r>
                    <m:rPr>
                      <m:sty m:val="p"/>
                    </m:rPr>
                    <m:t>,</m:t>
                  </m:r>
                  <m:r>
                    <m:rPr>
                      <m:nor/>
                      <m:sty m:val="p"/>
                    </m:rPr>
                    <m:t>macro</m:t>
                  </m:r>
                </m:sub>
              </m:sSub>
            </m:e>
          </m:d>
        </m:oMath>
      </m:oMathPara>
    </w:p>
    <w:p>
      <w:pPr>
        <w:pStyle w:val="Compact"/>
        <w:numPr>
          <w:ilvl w:val="0"/>
          <w:numId w:val="1004"/>
        </w:numPr>
      </w:pPr>
      <m:oMath>
        <m:sSub>
          <m:e>
            <m:r>
              <m:t>Y</m:t>
            </m:r>
          </m:e>
          <m:sub>
            <m:r>
              <m:t>i</m:t>
            </m:r>
          </m:sub>
        </m:sSub>
      </m:oMath>
      <w:r>
        <w:t xml:space="preserve">: Height at year 10 for tree</w:t>
      </w:r>
      <w:r>
        <w:t xml:space="preserve"> </w:t>
      </w:r>
      <m:oMath>
        <m:r>
          <m:t>i</m:t>
        </m:r>
      </m:oMath>
      <w:r>
        <w:t xml:space="preserve">.</w:t>
      </w:r>
    </w:p>
    <w:p>
      <w:pPr>
        <w:pStyle w:val="Compact"/>
        <w:numPr>
          <w:ilvl w:val="0"/>
          <w:numId w:val="1004"/>
        </w:numPr>
      </w:pPr>
      <m:oMath>
        <m:sSub>
          <m:e>
            <m:r>
              <m:t>μ</m:t>
            </m:r>
          </m:e>
          <m:sub>
            <m:r>
              <m:t>i</m:t>
            </m:r>
          </m:sub>
        </m:sSub>
      </m:oMath>
      <w:r>
        <w:t xml:space="preserve">: Mean height at year 10 for tree</w:t>
      </w:r>
      <w:r>
        <w:t xml:space="preserve"> </w:t>
      </w:r>
      <m:oMath>
        <m:r>
          <m:t>i</m:t>
        </m:r>
      </m:oMath>
      <w:r>
        <w:t xml:space="preserve">.</w:t>
      </w:r>
    </w:p>
    <w:p>
      <w:pPr>
        <w:pStyle w:val="Compact"/>
        <w:numPr>
          <w:ilvl w:val="0"/>
          <w:numId w:val="1004"/>
        </w:numPr>
      </w:pPr>
      <m:oMath>
        <m:sSubSup>
          <m:e>
            <m:r>
              <m:t>σ</m:t>
            </m:r>
          </m:e>
          <m:sub>
            <m:r>
              <m:t>i</m:t>
            </m:r>
          </m:sub>
          <m:sup>
            <m:r>
              <m:t>2</m:t>
            </m:r>
          </m:sup>
        </m:sSubSup>
      </m:oMath>
      <w:r>
        <w:t xml:space="preserve">: Variance of height at year 10 for tree</w:t>
      </w:r>
      <w:r>
        <w:t xml:space="preserve"> </w:t>
      </w:r>
      <m:oMath>
        <m:r>
          <m:t>i</m:t>
        </m:r>
      </m:oMath>
      <w:r>
        <w:t xml:space="preserve">.</w:t>
      </w:r>
    </w:p>
    <w:p>
      <w:pPr>
        <w:pStyle w:val="Compact"/>
        <w:numPr>
          <w:ilvl w:val="0"/>
          <w:numId w:val="1004"/>
        </w:numPr>
      </w:pPr>
      <m:oMath>
        <m:sSub>
          <m:e>
            <m:r>
              <m:t>α</m:t>
            </m:r>
          </m:e>
          <m:sub>
            <m:r>
              <m:rPr>
                <m:nor/>
                <m:sty m:val="p"/>
              </m:rPr>
              <m:t>macro</m:t>
            </m:r>
            <m:r>
              <m:rPr>
                <m:sty m:val="p"/>
              </m:rPr>
              <m:t>,</m:t>
            </m:r>
            <m:r>
              <m:rPr>
                <m:nor/>
                <m:sty m:val="p"/>
              </m:rPr>
              <m:t>spp</m:t>
            </m:r>
          </m:sub>
        </m:sSub>
      </m:oMath>
      <w:r>
        <w:t xml:space="preserve">: Random effect for species, co-varying</w:t>
      </w:r>
      <w:r>
        <w:t xml:space="preserve"> </w:t>
      </w:r>
      <w:r>
        <w:t xml:space="preserve">within macro plot.</w:t>
      </w:r>
    </w:p>
    <w:p>
      <w:pPr>
        <w:pStyle w:val="Compact"/>
        <w:numPr>
          <w:ilvl w:val="0"/>
          <w:numId w:val="1004"/>
        </w:numPr>
      </w:pPr>
      <m:oMath>
        <m:sSub>
          <m:e>
            <m:r>
              <m:rPr>
                <m:sty m:val="b"/>
              </m:rPr>
              <m:t>Σ</m:t>
            </m:r>
          </m:e>
          <m:sub>
            <m:r>
              <m:rPr>
                <m:nor/>
                <m:sty m:val="p"/>
              </m:rPr>
              <m:t>macro</m:t>
            </m:r>
            <m:r>
              <m:rPr>
                <m:sty m:val="p"/>
              </m:rPr>
              <m:t>,</m:t>
            </m:r>
            <m:r>
              <m:rPr>
                <m:nor/>
                <m:sty m:val="p"/>
              </m:rPr>
              <m:t>spp</m:t>
            </m:r>
          </m:sub>
        </m:sSub>
      </m:oMath>
      <w:r>
        <w:t xml:space="preserve">: Unstructured variance-covariance matrix for species</w:t>
      </w:r>
      <w:r>
        <w:t xml:space="preserve"> </w:t>
      </w:r>
      <w:r>
        <w:t xml:space="preserve">within macro plot.</w:t>
      </w:r>
    </w:p>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rout-ht-yr-10"/>
          <w:p>
            <w:pPr>
              <w:pStyle w:val="Compact"/>
              <w:jc w:val="center"/>
            </w:pPr>
            <w:r>
              <w:drawing>
                <wp:inline>
                  <wp:extent cx="4620126" cy="3696101"/>
                  <wp:effectExtent b="0" l="0" r="0" t="0"/>
                  <wp:docPr descr="" title="" id="85" name="Picture"/>
                  <a:graphic>
                    <a:graphicData uri="http://schemas.openxmlformats.org/drawingml/2006/picture">
                      <pic:pic>
                        <pic:nvPicPr>
                          <pic:cNvPr descr="thesis/results_files/figure-docx/fig-sprout-ht-yr-10-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87"/>
        </w:tc>
      </w:tr>
    </w:tbl>
    <w:tbl>
      <w:tblPr>
        <w:tblStyle w:val="Table"/>
        <w:tblW w:type="pct" w:w="5000"/>
        <w:tblLayout w:type="fixed"/>
        <w:tblLook w:firstRow="0" w:lastRow="0" w:firstColumn="0" w:lastColumn="0" w:noHBand="0" w:noVBand="0" w:val="0000"/>
      </w:tblPr>
      <w:tblGrid>
        <w:gridCol w:w="7920"/>
      </w:tblGrid>
      <w:tr>
        <w:tc>
          <w:tcPr/>
          <w:bookmarkStart w:id="88"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3403"/>
              <w:tblLayout w:type="fixed"/>
              <w:tblLook w:firstRow="1" w:lastRow="0" w:firstColumn="0" w:lastColumn="0" w:noHBand="0" w:noVBand="0" w:val="0020"/>
            </w:tblPr>
            <w:tblGrid>
              <w:gridCol w:w="660"/>
              <w:gridCol w:w="77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5.2</w:t>
                  </w:r>
                </w:p>
              </w:tc>
              <w:tc>
                <w:tcPr/>
                <w:p>
                  <w:pPr>
                    <w:pStyle w:val="Compact"/>
                    <w:jc w:val="center"/>
                  </w:pPr>
                  <w:r>
                    <w:t xml:space="preserve">7.4</w:t>
                  </w:r>
                </w:p>
              </w:tc>
            </w:tr>
          </w:tbl>
          <w:bookmarkEnd w:id="8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2986"/>
              <w:tblLayout w:type="fixed"/>
              <w:tblLook w:firstRow="1" w:lastRow="0" w:firstColumn="0" w:lastColumn="0" w:noHBand="0" w:noVBand="0" w:val="0020"/>
            </w:tblPr>
            <w:tblGrid>
              <w:gridCol w:w="660"/>
              <w:gridCol w:w="1210"/>
              <w:gridCol w:w="990"/>
              <w:gridCol w:w="77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0.05</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0</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0</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0.16</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0.95</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0.05</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0</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0</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0.4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0.16</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0.95</w:t>
                  </w:r>
                </w:p>
              </w:tc>
            </w:tr>
          </w:tbl>
          <w:bookmarkEnd w:id="89"/>
          <w:p/>
        </w:tc>
      </w:tr>
    </w:tbl>
    <w:bookmarkEnd w:id="90"/>
    <w:bookmarkEnd w:id="91"/>
    <w:bookmarkStart w:id="116" w:name="fuels-2"/>
    <w:p>
      <w:pPr>
        <w:pStyle w:val="Heading2"/>
      </w:pPr>
      <w:r>
        <w:t xml:space="preserve">3.3 Fuels</w:t>
      </w:r>
    </w:p>
    <w:p>
      <w:pPr>
        <w:pStyle w:val="FirstParagraph"/>
      </w:pPr>
      <w:r>
        <w:t xml:space="preserve">Gamma distributed, linear multi-level models, with a log link were used to model</w:t>
      </w:r>
      <w:r>
        <w:t xml:space="preserve"> </w:t>
      </w:r>
      <w:r>
        <w:t xml:space="preserve">fuel load response (Mg ha</w:t>
      </w:r>
      <w:r>
        <w:rPr>
          <w:vertAlign w:val="superscript"/>
        </w:rPr>
        <w:t xml:space="preserve">-1</w:t>
      </w:r>
      <w:r>
        <w:t xml:space="preserve">) for all fuel classes. Random intercepts were</w:t>
      </w:r>
      <w:r>
        <w:t xml:space="preserve"> </w:t>
      </w:r>
      <w:r>
        <w:t xml:space="preserve">specified for three levels of nesting, representing sites, macro plots, and</w:t>
      </w:r>
      <w:r>
        <w:t xml:space="preserve"> </w:t>
      </w:r>
      <w:r>
        <w:t xml:space="preserve">transect corners. A hurdle component with logit link was used for predicting</w:t>
      </w:r>
      <w:r>
        <w:t xml:space="preserve"> </w:t>
      </w:r>
      <w:r>
        <w:t xml:space="preserve">zeros in all models except for the duff &amp; litter model. Dispersion components</w:t>
      </w:r>
      <w:r>
        <w:t xml:space="preserve"> </w:t>
      </w:r>
      <w:r>
        <w:t xml:space="preserve">were included where needed, based on AIC model selection. Models were fit</w:t>
      </w:r>
      <w:r>
        <w:t xml:space="preserve"> </w:t>
      </w:r>
      <w:r>
        <w:t xml:space="preserve">separately for pre- and post-PCT fuel measurements. Duff and litter were not</w:t>
      </w:r>
      <w:r>
        <w:t xml:space="preserve"> </w:t>
      </w:r>
      <w:r>
        <w:t xml:space="preserve">measured post-PCT, and vegetation difference was only modeled post-PCT.</w:t>
      </w:r>
    </w:p>
    <w:tbl>
      <w:tblPr>
        <w:tblStyle w:val="Table"/>
        <w:tblW w:type="pct" w:w="5000"/>
        <w:tblLayout w:type="fixed"/>
        <w:tblLook w:firstRow="0" w:lastRow="0" w:firstColumn="0" w:lastColumn="0" w:noHBand="0" w:noVBand="0" w:val="0000"/>
      </w:tblPr>
      <w:tblGrid>
        <w:gridCol w:w="7920"/>
      </w:tblGrid>
      <w:tr>
        <w:tc>
          <w:tcPr/>
          <w:bookmarkStart w:id="92" w:name="lst-fuel-pre-pct-mod"/>
          <w:p>
            <w:pPr>
              <w:jc w:val="center"/>
            </w:pPr>
            <w:pPr>
              <w:jc w:val="left"/>
              <w:spacing w:before="200"/>
              <w:pStyle w:val="ImageCaption"/>
            </w:pPr>
            <w:r>
              <w:t xml:space="preserve">Listing 3.5</w:t>
            </w:r>
          </w:p>
          <w:p>
            <w:pPr>
              <w:pStyle w:val="SourceCode"/>
              <w:jc w:val="center"/>
            </w:pPr>
            <w:r>
              <w:rPr>
                <w:rStyle w:val="VerbatimChar"/>
              </w:rPr>
              <w:t xml:space="preserve">family: Gamma(link = "log")</w:t>
            </w:r>
            <w:r>
              <w:br/>
            </w:r>
            <w:r>
              <w:rPr>
                <w:rStyle w:val="VerbatimChar"/>
              </w:rPr>
              <w:t xml:space="preserve">conditional: fuel_load ~ treatment + (1 | site/macro/corner)</w:t>
            </w:r>
          </w:p>
          <w:bookmarkEnd w:id="92"/>
        </w:tc>
      </w:tr>
    </w:tbl>
    <w:p>
      <w:pPr>
        <w:pStyle w:val="FirstParagraph"/>
      </w:pPr>
      <m:oMathPara>
        <m:oMathParaPr>
          <m:jc m:val="center"/>
        </m:oMathParaPr>
        <m:oMath>
          <m:sSub>
            <m:e>
              <m:r>
                <m:t>Y</m:t>
              </m:r>
            </m:e>
            <m:sub>
              <m:r>
                <m:t>i</m:t>
              </m:r>
            </m:sub>
          </m:sSub>
          <m:r>
            <m:rPr>
              <m:sty m:val="p"/>
            </m:rPr>
            <m:t>∼</m:t>
          </m:r>
          <m:r>
            <m:rPr>
              <m:nor/>
              <m:sty m:val="p"/>
            </m:rPr>
            <m:t>hurdle_gamma</m:t>
          </m:r>
          <m:d>
            <m:dPr>
              <m:begChr m:val="("/>
              <m:sepChr m:val=""/>
              <m:endChr m:val=")"/>
              <m:grow/>
            </m:dPr>
            <m:e>
              <m:sSub>
                <m:e>
                  <m:r>
                    <m:t>π</m:t>
                  </m:r>
                </m:e>
                <m:sub>
                  <m:r>
                    <m:t>i</m:t>
                  </m:r>
                </m:sub>
              </m:sSub>
              <m:r>
                <m:rPr>
                  <m:sty m:val="p"/>
                </m:rPr>
                <m:t>,</m:t>
              </m:r>
              <m:sSub>
                <m:e>
                  <m:r>
                    <m:t>μ</m:t>
                  </m:r>
                </m:e>
                <m:sub>
                  <m:r>
                    <m:t>i</m:t>
                  </m:r>
                </m:sub>
              </m:sSub>
              <m:r>
                <m:rPr>
                  <m:sty m:val="p"/>
                </m:rPr>
                <m:t>,</m:t>
              </m:r>
              <m:sSub>
                <m:e>
                  <m:r>
                    <m:t>ϕ</m:t>
                  </m:r>
                </m:e>
                <m:sub>
                  <m:r>
                    <m:t>i</m:t>
                  </m:r>
                </m:sub>
              </m:sSub>
            </m:e>
          </m:d>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
            <m:e>
              <m:r>
                <m:t>α</m:t>
              </m:r>
            </m:e>
            <m:sub>
              <m:r>
                <m:rPr>
                  <m:nor/>
                  <m:sty m:val="p"/>
                </m:rPr>
                <m:t>site</m:t>
              </m:r>
              <m:d>
                <m:dPr>
                  <m:begChr m:val="["/>
                  <m:sepChr m:val=""/>
                  <m:endChr m:val="]"/>
                  <m:grow/>
                </m:dPr>
                <m:e>
                  <m:r>
                    <m:t>i</m:t>
                  </m:r>
                </m:e>
              </m:d>
            </m:sub>
          </m:sSub>
          <m:r>
            <m:rPr>
              <m:sty m:val="p"/>
            </m:rPr>
            <m:t>+</m:t>
          </m:r>
          <m:sSub>
            <m:e>
              <m:r>
                <m:t>α</m:t>
              </m:r>
            </m:e>
            <m:sub>
              <m:r>
                <m:rPr>
                  <m:nor/>
                  <m:sty m:val="p"/>
                </m:rPr>
                <m:t>macro</m:t>
              </m:r>
              <m:d>
                <m:dPr>
                  <m:begChr m:val="["/>
                  <m:sepChr m:val=""/>
                  <m:endChr m:val="]"/>
                  <m:grow/>
                </m:dPr>
                <m:e>
                  <m:r>
                    <m:t>i</m:t>
                  </m:r>
                </m:e>
              </m:d>
            </m:sub>
          </m:sSub>
          <m:r>
            <m:rPr>
              <m:sty m:val="p"/>
            </m:rPr>
            <m:t>+</m:t>
          </m:r>
          <m:sSub>
            <m:e>
              <m:r>
                <m:t>α</m:t>
              </m:r>
            </m:e>
            <m:sub>
              <m:r>
                <m:rPr>
                  <m:nor/>
                  <m:sty m:val="p"/>
                </m:rPr>
                <m:t>corner</m:t>
              </m:r>
              <m:d>
                <m:dPr>
                  <m:begChr m:val="["/>
                  <m:sepChr m:val=""/>
                  <m:endChr m:val="]"/>
                  <m:grow/>
                </m:dPr>
                <m:e>
                  <m:r>
                    <m:t>i</m:t>
                  </m:r>
                </m:e>
              </m:d>
            </m:sub>
          </m:sSub>
        </m:oMath>
      </m:oMathPara>
    </w:p>
    <w:p>
      <w:pPr>
        <w:pStyle w:val="FirstParagraph"/>
      </w:pPr>
      <w:r>
        <w:t xml:space="preserve">Any model component not explicitly defined below was modeled with only an</w:t>
      </w:r>
      <w:r>
        <w:t xml:space="preserve"> </w:t>
      </w:r>
      <w:r>
        <w:t xml:space="preserve">intercept:</w:t>
      </w:r>
    </w:p>
    <w:p>
      <w:pPr>
        <w:pStyle w:val="BodyText"/>
      </w:pPr>
      <m:oMathPara>
        <m:oMathParaPr>
          <m:jc m:val="center"/>
        </m:oMathParaPr>
        <m:oMath>
          <m:r>
            <m:rPr>
              <m:nor/>
              <m:sty m:val="p"/>
            </m:rPr>
            <m:t>logit</m:t>
          </m:r>
          <m:d>
            <m:dPr>
              <m:begChr m:val="("/>
              <m:sepChr m:val=""/>
              <m:endChr m:val=")"/>
              <m:grow/>
            </m:dPr>
            <m:e>
              <m:sSubSup>
                <m:e>
                  <m:r>
                    <m:t>π</m:t>
                  </m:r>
                </m:e>
                <m:sub>
                  <m:r>
                    <m:t>i</m:t>
                  </m:r>
                </m:sub>
                <m:sup>
                  <m:r>
                    <m:rPr>
                      <m:sty m:val="p"/>
                    </m:rPr>
                    <m:t>⋅</m:t>
                  </m:r>
                </m:sup>
              </m:sSubSup>
            </m:e>
          </m:d>
          <m:r>
            <m:rPr>
              <m:sty m:val="p"/>
            </m:rPr>
            <m:t>=</m:t>
          </m:r>
          <m:sSubSup>
            <m:e>
              <m:r>
                <m:t>β</m:t>
              </m:r>
            </m:e>
            <m:sub>
              <m:r>
                <m:t>0</m:t>
              </m:r>
            </m:sub>
            <m:sup>
              <m:d>
                <m:dPr>
                  <m:begChr m:val="("/>
                  <m:sepChr m:val=""/>
                  <m:endChr m:val=")"/>
                  <m:grow/>
                </m:dPr>
                <m:e>
                  <m:r>
                    <m:t>π</m:t>
                  </m:r>
                  <m:r>
                    <m:rPr>
                      <m:sty m:val="p"/>
                    </m:rPr>
                    <m:t>,</m:t>
                  </m:r>
                  <m:r>
                    <m:rPr>
                      <m:sty m:val="p"/>
                    </m:rPr>
                    <m:t>⋅</m:t>
                  </m:r>
                </m:e>
              </m:d>
            </m:sup>
          </m:sSubSup>
        </m:oMath>
      </m:oMathPara>
    </w:p>
    <w:p>
      <w:pPr>
        <w:pStyle w:val="FirstParagraph"/>
      </w:pPr>
      <m:oMathPara>
        <m:oMathParaPr>
          <m:jc m:val="center"/>
        </m:oMathParaPr>
        <m:oMath>
          <m:r>
            <m:rPr>
              <m:sty m:val="p"/>
            </m:rPr>
            <m:t>log</m:t>
          </m:r>
          <m:d>
            <m:dPr>
              <m:begChr m:val="("/>
              <m:sepChr m:val=""/>
              <m:endChr m:val=")"/>
              <m:grow/>
            </m:dPr>
            <m:e>
              <m:sSubSup>
                <m:e>
                  <m:r>
                    <m:t>ϕ</m:t>
                  </m:r>
                </m:e>
                <m:sub>
                  <m:r>
                    <m:t>i</m:t>
                  </m:r>
                </m:sub>
                <m:sup>
                  <m:r>
                    <m:rPr>
                      <m:sty m:val="p"/>
                    </m:rPr>
                    <m:t>⋅</m:t>
                  </m:r>
                </m:sup>
              </m:sSubSup>
            </m:e>
          </m:d>
          <m:r>
            <m:rPr>
              <m:sty m:val="p"/>
            </m:rPr>
            <m:t>=</m:t>
          </m:r>
          <m:sSubSup>
            <m:e>
              <m:r>
                <m:t>β</m:t>
              </m:r>
            </m:e>
            <m:sub>
              <m:r>
                <m:t>0</m:t>
              </m:r>
            </m:sub>
            <m:sup>
              <m:d>
                <m:dPr>
                  <m:begChr m:val="("/>
                  <m:sepChr m:val=""/>
                  <m:endChr m:val=")"/>
                  <m:grow/>
                </m:dPr>
                <m:e>
                  <m:r>
                    <m:t>ϕ</m:t>
                  </m:r>
                  <m:r>
                    <m:rPr>
                      <m:sty m:val="p"/>
                    </m:rPr>
                    <m:t>,</m:t>
                  </m:r>
                  <m:r>
                    <m:rPr>
                      <m:sty m:val="p"/>
                    </m:rPr>
                    <m:t>⋅</m:t>
                  </m:r>
                </m:e>
              </m:d>
            </m:sup>
          </m:sSubSup>
        </m:oMath>
      </m:oMathPara>
    </w:p>
    <w:p>
      <w:pPr>
        <w:pStyle w:val="Compact"/>
        <w:numPr>
          <w:ilvl w:val="0"/>
          <w:numId w:val="1005"/>
        </w:numPr>
      </w:pPr>
      <m:oMath>
        <m:sSub>
          <m:e>
            <m:r>
              <m:t>Y</m:t>
            </m:r>
          </m:e>
          <m:sub>
            <m:r>
              <m:t>i</m:t>
            </m:r>
          </m:sub>
        </m:sSub>
      </m:oMath>
      <w:r>
        <w:t xml:space="preserve">: Fuel load (Mg ha</w:t>
      </w:r>
      <w:r>
        <w:rPr>
          <w:vertAlign w:val="superscript"/>
        </w:rPr>
        <w:t xml:space="preserve">-1</w:t>
      </w:r>
      <w:r>
        <w:t xml:space="preserve">) for transect</w:t>
      </w:r>
      <w:r>
        <w:t xml:space="preserve"> </w:t>
      </w:r>
      <m:oMath>
        <m:r>
          <m:t>i</m:t>
        </m:r>
      </m:oMath>
      <w:r>
        <w:t xml:space="preserve">.</w:t>
      </w:r>
    </w:p>
    <w:p>
      <w:pPr>
        <w:pStyle w:val="Compact"/>
        <w:numPr>
          <w:ilvl w:val="0"/>
          <w:numId w:val="1005"/>
        </w:numPr>
      </w:pPr>
      <m:oMath>
        <m:sSub>
          <m:e>
            <m:r>
              <m:t>π</m:t>
            </m:r>
          </m:e>
          <m:sub>
            <m:r>
              <m:t>i</m:t>
            </m:r>
          </m:sub>
        </m:sSub>
      </m:oMath>
      <w:r>
        <w:t xml:space="preserve">: Probability that</w:t>
      </w:r>
      <w:r>
        <w:t xml:space="preserve"> </w:t>
      </w:r>
      <m:oMath>
        <m:sSub>
          <m:e>
            <m:r>
              <m:t>Y</m:t>
            </m:r>
          </m:e>
          <m:sub>
            <m:r>
              <m:t>i</m:t>
            </m:r>
          </m:sub>
        </m:sSub>
        <m:r>
          <m:rPr>
            <m:sty m:val="p"/>
          </m:rPr>
          <m:t>&gt;</m:t>
        </m:r>
        <m:r>
          <m:t>0</m:t>
        </m:r>
      </m:oMath>
      <w:r>
        <w:t xml:space="preserve">, the hurdle component.</w:t>
      </w:r>
    </w:p>
    <w:p>
      <w:pPr>
        <w:pStyle w:val="Compact"/>
        <w:numPr>
          <w:ilvl w:val="0"/>
          <w:numId w:val="1005"/>
        </w:numPr>
      </w:pPr>
      <m:oMath>
        <m:sSub>
          <m:e>
            <m:r>
              <m:t>μ</m:t>
            </m:r>
          </m:e>
          <m:sub>
            <m:r>
              <m:t>i</m:t>
            </m:r>
          </m:sub>
        </m:sSub>
      </m:oMath>
      <w:r>
        <w:t xml:space="preserve">: Mean of positive values.</w:t>
      </w:r>
    </w:p>
    <w:p>
      <w:pPr>
        <w:pStyle w:val="Compact"/>
        <w:numPr>
          <w:ilvl w:val="0"/>
          <w:numId w:val="1005"/>
        </w:numPr>
      </w:pPr>
      <m:oMath>
        <m:sSub>
          <m:e>
            <m:r>
              <m:t>ϕ</m:t>
            </m:r>
          </m:e>
          <m:sub>
            <m:r>
              <m:t>i</m:t>
            </m:r>
          </m:sub>
        </m:sSub>
      </m:oMath>
      <w:r>
        <w:t xml:space="preserve">: Dispersion parameter for Gamma distribution.</w:t>
      </w:r>
    </w:p>
    <w:p>
      <w:pPr>
        <w:pStyle w:val="Compact"/>
        <w:numPr>
          <w:ilvl w:val="0"/>
          <w:numId w:val="1005"/>
        </w:numPr>
      </w:pPr>
      <m:oMath>
        <m:sSub>
          <m:e>
            <m:r>
              <m:t>α</m:t>
            </m:r>
          </m:e>
          <m:sub>
            <m:r>
              <m:rPr>
                <m:sty m:val="p"/>
              </m:rPr>
              <m:t>⋅</m:t>
            </m:r>
          </m:sub>
        </m:sSub>
      </m:oMath>
      <w:r>
        <w:t xml:space="preserve">: Random intercepts for site, macro plot, and corner.</w:t>
      </w:r>
    </w:p>
    <w:p>
      <w:pPr>
        <w:pStyle w:val="Compact"/>
        <w:numPr>
          <w:ilvl w:val="0"/>
          <w:numId w:val="1005"/>
        </w:numPr>
      </w:pPr>
      <m:oMath>
        <m:sSubSup>
          <m:e>
            <m:r>
              <m:t>β</m:t>
            </m:r>
          </m:e>
          <m:sub>
            <m:r>
              <m:rPr>
                <m:sty m:val="p"/>
              </m:rPr>
              <m:t>⋅</m:t>
            </m:r>
          </m:sub>
          <m:sup>
            <m:r>
              <m:rPr>
                <m:sty m:val="p"/>
              </m:rPr>
              <m:t>⋅</m:t>
            </m:r>
          </m:sup>
        </m:sSubSup>
      </m:oMath>
      <w:r>
        <w:t xml:space="preserve">: Fixed effects for intercepts and treatment</w:t>
      </w:r>
      <w:r>
        <w:t xml:space="preserve"> </w:t>
      </w:r>
      <w:r>
        <w:t xml:space="preserve">levels for mean, hurdle, and dispersion components</w:t>
      </w:r>
      <w:r>
        <w:t xml:space="preserve"> </w:t>
      </w:r>
      <w:r>
        <w:t xml:space="preserve">.</w:t>
      </w:r>
    </w:p>
    <w:bookmarkStart w:id="101" w:name="pre-pct"/>
    <w:p>
      <w:pPr>
        <w:pStyle w:val="Heading3"/>
      </w:pPr>
      <w:r>
        <w:t xml:space="preserve">3.3.1 Pre-pct</w:t>
      </w:r>
    </w:p>
    <w:p>
      <w:pPr>
        <w:pStyle w:val="FirstParagraph"/>
      </w:pPr>
      <w:r>
        <w:t xml:space="preserve">For the Duff &amp; Litter model, there was no hurdle component because there were no</w:t>
      </w:r>
      <w:r>
        <w:t xml:space="preserve"> </w:t>
      </w:r>
      <w:r>
        <w:t xml:space="preserve">zeros in the data, and the dispersion parameter was modeled with only an</w:t>
      </w:r>
      <w:r>
        <w:t xml:space="preserve"> </w:t>
      </w:r>
      <w:r>
        <w:t xml:space="preserve">intercept (see below).</w:t>
      </w:r>
    </w:p>
    <w:p>
      <w:pPr>
        <w:pStyle w:val="BodyText"/>
      </w:pPr>
      <m:oMathPara>
        <m:oMathParaPr>
          <m:jc m:val="center"/>
        </m:oMathParaPr>
        <m:oMath>
          <m:r>
            <m:rPr>
              <m:nor/>
              <m:sty m:val="p"/>
            </m:rPr>
            <m:t>logit</m:t>
          </m:r>
          <m:d>
            <m:dPr>
              <m:begChr m:val="("/>
              <m:sepChr m:val=""/>
              <m:endChr m:val=")"/>
              <m:grow/>
            </m:dPr>
            <m:e>
              <m:sSubSup>
                <m:e>
                  <m:r>
                    <m:t>π</m:t>
                  </m:r>
                </m:e>
                <m:sub>
                  <m:r>
                    <m:t>i</m:t>
                  </m:r>
                </m:sub>
                <m:sup>
                  <m:r>
                    <m:rPr>
                      <m:nor/>
                      <m:sty m:val="p"/>
                    </m:rPr>
                    <m:t>dufflitter</m:t>
                  </m:r>
                </m:sup>
              </m:sSubSup>
            </m:e>
          </m:d>
          <m:r>
            <m:rPr>
              <m:sty m:val="p"/>
            </m:rPr>
            <m:t>=</m:t>
          </m:r>
          <m:sSubSup>
            <m:e>
              <m:r>
                <m:t>β</m:t>
              </m:r>
            </m:e>
            <m:sub>
              <m:r>
                <m:t>0</m:t>
              </m:r>
            </m:sub>
            <m:sup>
              <m:d>
                <m:dPr>
                  <m:begChr m:val="("/>
                  <m:sepChr m:val=""/>
                  <m:endChr m:val=")"/>
                  <m:grow/>
                </m:dPr>
                <m:e>
                  <m:r>
                    <m:t>π</m:t>
                  </m:r>
                  <m:r>
                    <m:rPr>
                      <m:sty m:val="p"/>
                    </m:rPr>
                    <m:t>,</m:t>
                  </m:r>
                  <m:r>
                    <m:rPr>
                      <m:nor/>
                      <m:sty m:val="p"/>
                    </m:rPr>
                    <m:t>dufflitter</m:t>
                  </m:r>
                </m:e>
              </m:d>
            </m:sup>
          </m:sSubSup>
        </m:oMath>
      </m:oMathPara>
    </w:p>
    <w:p>
      <w:pPr>
        <w:pStyle w:val="FirstParagraph"/>
      </w:pPr>
      <w:r>
        <w:t xml:space="preserve">For the 10-hr fuel model, the hurdle</w:t>
      </w:r>
      <w:r>
        <w:t xml:space="preserve"> </w:t>
      </w:r>
      <w:r>
        <w:t xml:space="preserve">and the dispersion components were modeled as functions of treatment.</w:t>
      </w:r>
    </w:p>
    <w:p>
      <w:pPr>
        <w:pStyle w:val="BodyText"/>
      </w:pPr>
      <m:oMathPara>
        <m:oMathParaPr>
          <m:jc m:val="center"/>
        </m:oMathParaPr>
        <m:oMath>
          <m:r>
            <m:rPr>
              <m:nor/>
              <m:sty m:val="p"/>
            </m:rPr>
            <m:t>logit</m:t>
          </m:r>
          <m:d>
            <m:dPr>
              <m:begChr m:val="("/>
              <m:sepChr m:val=""/>
              <m:endChr m:val=")"/>
              <m:grow/>
            </m:dPr>
            <m:e>
              <m:sSubSup>
                <m:e>
                  <m:r>
                    <m:t>π</m:t>
                  </m:r>
                </m:e>
                <m:sub>
                  <m:r>
                    <m:t>i</m:t>
                  </m:r>
                </m:sub>
                <m:sup>
                  <m:r>
                    <m:rPr>
                      <m:nor/>
                      <m:sty m:val="p"/>
                    </m:rPr>
                    <m:t>10hr</m:t>
                  </m:r>
                </m:sup>
              </m:sSubSup>
            </m:e>
          </m:d>
          <m:r>
            <m:rPr>
              <m:sty m:val="p"/>
            </m:rPr>
            <m:t>=</m:t>
          </m:r>
          <m:sSubSup>
            <m:e>
              <m:r>
                <m:t>β</m:t>
              </m:r>
            </m:e>
            <m:sub>
              <m:r>
                <m:t>0</m:t>
              </m:r>
            </m:sub>
            <m:sup>
              <m:d>
                <m:dPr>
                  <m:begChr m:val="("/>
                  <m:sepChr m:val=""/>
                  <m:endChr m:val=")"/>
                  <m:grow/>
                </m:dPr>
                <m:e>
                  <m:r>
                    <m:t>π</m:t>
                  </m:r>
                  <m:r>
                    <m:rPr>
                      <m:sty m:val="p"/>
                    </m:rPr>
                    <m:t>,</m:t>
                  </m:r>
                  <m:r>
                    <m:rPr>
                      <m:nor/>
                      <m:sty m:val="p"/>
                    </m:rPr>
                    <m:t>10hr</m:t>
                  </m:r>
                </m:e>
              </m:d>
            </m:sup>
          </m:sSubSup>
          <m:r>
            <m:rPr>
              <m:sty m:val="p"/>
            </m:rPr>
            <m:t>+</m:t>
          </m:r>
          <m:sSubSup>
            <m:e>
              <m:r>
                <m:t>β</m:t>
              </m:r>
            </m:e>
            <m:sub>
              <m:r>
                <m:rPr>
                  <m:nor/>
                  <m:sty m:val="p"/>
                </m:rPr>
                <m:t>trt</m:t>
              </m:r>
            </m:sub>
            <m:sup>
              <m:d>
                <m:dPr>
                  <m:begChr m:val="("/>
                  <m:sepChr m:val=""/>
                  <m:endChr m:val=")"/>
                  <m:grow/>
                </m:dPr>
                <m:e>
                  <m:r>
                    <m:t>π</m:t>
                  </m:r>
                  <m:r>
                    <m:rPr>
                      <m:sty m:val="p"/>
                    </m:rPr>
                    <m:t>,</m:t>
                  </m:r>
                  <m:r>
                    <m:rPr>
                      <m:nor/>
                      <m:sty m:val="p"/>
                    </m:rPr>
                    <m:t>10hr</m:t>
                  </m:r>
                </m:e>
              </m:d>
            </m:sup>
          </m:sSubSup>
          <m:r>
            <m:rPr>
              <m:sty m:val="p"/>
            </m:rPr>
            <m:t>⋅</m:t>
          </m:r>
          <m:sSub>
            <m:e>
              <m:r>
                <m:rPr>
                  <m:nor/>
                  <m:sty m:val="p"/>
                </m:rPr>
                <m:t>Trt</m:t>
              </m:r>
            </m:e>
            <m:sub>
              <m:r>
                <m:t>i</m:t>
              </m:r>
            </m:sub>
          </m:sSub>
        </m:oMath>
      </m:oMathPara>
    </w:p>
    <w:p>
      <w:pPr>
        <w:pStyle w:val="FirstParagraph"/>
      </w:pPr>
      <m:oMathPara>
        <m:oMathParaPr>
          <m:jc m:val="center"/>
        </m:oMathParaPr>
        <m:oMath>
          <m:r>
            <m:rPr>
              <m:sty m:val="p"/>
            </m:rPr>
            <m:t>log</m:t>
          </m:r>
          <m:d>
            <m:dPr>
              <m:begChr m:val="("/>
              <m:sepChr m:val=""/>
              <m:endChr m:val=")"/>
              <m:grow/>
            </m:dPr>
            <m:e>
              <m:sSubSup>
                <m:e>
                  <m:r>
                    <m:t>ϕ</m:t>
                  </m:r>
                </m:e>
                <m:sub>
                  <m:r>
                    <m:t>i</m:t>
                  </m:r>
                </m:sub>
                <m:sup>
                  <m:r>
                    <m:rPr>
                      <m:nor/>
                      <m:sty m:val="p"/>
                    </m:rPr>
                    <m:t>10hr</m:t>
                  </m:r>
                </m:sup>
              </m:sSubSup>
            </m:e>
          </m:d>
          <m:r>
            <m:rPr>
              <m:sty m:val="p"/>
            </m:rPr>
            <m:t>=</m:t>
          </m:r>
          <m:sSubSup>
            <m:e>
              <m:r>
                <m:t>β</m:t>
              </m:r>
            </m:e>
            <m:sub>
              <m:r>
                <m:t>0</m:t>
              </m:r>
            </m:sub>
            <m:sup>
              <m:d>
                <m:dPr>
                  <m:begChr m:val="("/>
                  <m:sepChr m:val=""/>
                  <m:endChr m:val=")"/>
                  <m:grow/>
                </m:dPr>
                <m:e>
                  <m:r>
                    <m:t>ϕ</m:t>
                  </m:r>
                  <m:r>
                    <m:rPr>
                      <m:sty m:val="p"/>
                    </m:rPr>
                    <m:t>,</m:t>
                  </m:r>
                  <m:r>
                    <m:rPr>
                      <m:nor/>
                      <m:sty m:val="p"/>
                    </m:rPr>
                    <m:t>10hr</m:t>
                  </m:r>
                </m:e>
              </m:d>
            </m:sup>
          </m:sSubSup>
          <m:r>
            <m:rPr>
              <m:sty m:val="p"/>
            </m:rPr>
            <m:t>+</m:t>
          </m:r>
          <m:sSubSup>
            <m:e>
              <m:r>
                <m:t>β</m:t>
              </m:r>
            </m:e>
            <m:sub>
              <m:r>
                <m:rPr>
                  <m:nor/>
                  <m:sty m:val="p"/>
                </m:rPr>
                <m:t>trt</m:t>
              </m:r>
            </m:sub>
            <m:sup>
              <m:d>
                <m:dPr>
                  <m:begChr m:val="("/>
                  <m:sepChr m:val=""/>
                  <m:endChr m:val=")"/>
                  <m:grow/>
                </m:dPr>
                <m:e>
                  <m:r>
                    <m:t>ϕ</m:t>
                  </m:r>
                  <m:r>
                    <m:rPr>
                      <m:sty m:val="p"/>
                    </m:rPr>
                    <m:t>,</m:t>
                  </m:r>
                  <m:r>
                    <m:rPr>
                      <m:nor/>
                      <m:sty m:val="p"/>
                    </m:rPr>
                    <m:t>10hr</m:t>
                  </m:r>
                </m:e>
              </m:d>
            </m:sup>
          </m:sSubSup>
          <m:r>
            <m:rPr>
              <m:sty m:val="p"/>
            </m:rPr>
            <m:t>⋅</m:t>
          </m:r>
          <m:sSub>
            <m:e>
              <m:r>
                <m:rPr>
                  <m:nor/>
                  <m:sty m:val="p"/>
                </m:rPr>
                <m:t>Trt</m:t>
              </m:r>
            </m:e>
            <m:sub>
              <m:r>
                <m:t>i</m:t>
              </m:r>
            </m:sub>
          </m:sSub>
        </m:oMath>
      </m:oMathPara>
    </w:p>
    <w:p>
      <w:pPr>
        <w:pStyle w:val="FirstParagraph"/>
      </w:pPr>
      <w:r>
        <w:t xml:space="preserve">.</w:t>
      </w:r>
    </w:p>
    <w:tbl>
      <w:tblPr>
        <w:tblStyle w:val="Table"/>
        <w:tblW w:type="pct" w:w="5000"/>
        <w:tblLayout w:type="fixed"/>
        <w:tblLook w:firstRow="0" w:lastRow="0" w:firstColumn="0" w:lastColumn="0" w:noHBand="0" w:noVBand="0" w:val="0000"/>
      </w:tblPr>
      <w:tblGrid>
        <w:gridCol w:w="7920"/>
      </w:tblGrid>
      <w:tr>
        <w:tc>
          <w:tcPr/>
          <w:bookmarkStart w:id="93" w:name="tbl-fuel-pre-pct-mod"/>
          <w:p>
            <w:pPr>
              <w:jc w:val="center"/>
            </w:pPr>
            <w:pPr>
              <w:jc w:val="left"/>
              <w:spacing w:before="200"/>
              <w:pStyle w:val="ImageCaption"/>
            </w:pPr>
            <w:r>
              <w:t xml:space="preserve">Table 3.9: Dispersion and hurdle component specifications for six fuel classes before pct.</w:t>
            </w:r>
          </w:p>
          <w:tbl>
            <w:tblPr>
              <w:tblStyle w:val="Table"/>
              <w:tblW w:type="pct" w:w="3611"/>
              <w:tblLayout w:type="fixed"/>
              <w:tblLook w:firstRow="1" w:lastRow="0" w:firstColumn="0" w:lastColumn="0" w:noHBand="0" w:noVBand="0" w:val="0020"/>
            </w:tblPr>
            <w:tblGrid>
              <w:gridCol w:w="1760"/>
              <w:gridCol w:w="2090"/>
              <w:gridCol w:w="1870"/>
            </w:tblGrid>
            <w:tr>
              <w:trPr>
                <w:tblHeader w:val="on"/>
              </w:trPr>
              <w:tc>
                <w:tcPr/>
                <w:p>
                  <w:pPr>
                    <w:pStyle w:val="Compact"/>
                    <w:jc w:val="center"/>
                  </w:pPr>
                  <w:r>
                    <w:t xml:space="preserve">class</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~1</w:t>
                  </w:r>
                </w:p>
              </w:tc>
              <w:tc>
                <w:tcPr/>
                <w:p>
                  <w:pPr>
                    <w:pStyle w:val="Compact"/>
                    <w:jc w:val="center"/>
                  </w:pPr>
                  <w:r>
                    <w:t xml:space="preserve">~1</w:t>
                  </w:r>
                </w:p>
              </w:tc>
            </w:tr>
          </w:tbl>
          <w:bookmarkEnd w:id="93"/>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fuel-pre-pct"/>
          <w:p>
            <w:pPr>
              <w:pStyle w:val="Compact"/>
              <w:jc w:val="center"/>
            </w:pPr>
            <w:r>
              <w:drawing>
                <wp:inline>
                  <wp:extent cx="5334000" cy="2667000"/>
                  <wp:effectExtent b="0" l="0" r="0" t="0"/>
                  <wp:docPr descr="" title="" id="95" name="Picture"/>
                  <a:graphic>
                    <a:graphicData uri="http://schemas.openxmlformats.org/drawingml/2006/picture">
                      <pic:pic>
                        <pic:nvPicPr>
                          <pic:cNvPr descr="thesis/results_files/figure-docx/fig-fuel-pre-pct-1.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7"/>
        </w:tc>
      </w:tr>
    </w:tbl>
    <w:tbl>
      <w:tblPr>
        <w:tblStyle w:val="Table"/>
        <w:tblW w:type="pct" w:w="5000"/>
        <w:tblLayout w:type="fixed"/>
        <w:tblLook w:firstRow="0" w:lastRow="0" w:firstColumn="0" w:lastColumn="0" w:noHBand="0" w:noVBand="0" w:val="0000"/>
      </w:tblPr>
      <w:tblGrid>
        <w:gridCol w:w="7920"/>
      </w:tblGrid>
      <w:tr>
        <w:tc>
          <w:tcPr/>
          <w:bookmarkStart w:id="98"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236"/>
              <w:tblLayout w:type="fixed"/>
              <w:tblLook w:firstRow="1" w:lastRow="0" w:firstColumn="0" w:lastColumn="0" w:noHBand="0" w:noVBand="0" w:val="0020"/>
            </w:tblPr>
            <w:tblGrid>
              <w:gridCol w:w="1760"/>
              <w:gridCol w:w="880"/>
              <w:gridCol w:w="990"/>
              <w:gridCol w:w="880"/>
              <w:gridCol w:w="1100"/>
              <w:gridCol w:w="1100"/>
            </w:tblGrid>
            <w:tr>
              <w:trPr>
                <w:tblHeader w:val="on"/>
              </w:trPr>
              <w:tc>
                <w:tcPr/>
                <w:p>
                  <w:pPr>
                    <w:pStyle w:val="Compact"/>
                    <w:jc w:val="center"/>
                  </w:pPr>
                  <w:r>
                    <w:t xml:space="preserve">Class</w:t>
                  </w:r>
                </w:p>
              </w:tc>
              <w:tc>
                <w:tcPr/>
                <w:p>
                  <w:pPr>
                    <w:pStyle w:val="Compact"/>
                    <w:jc w:val="center"/>
                  </w:pPr>
                  <w:r>
                    <w:t xml:space="preserve">Treat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Duff &amp; 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 &amp; 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 &amp; 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 &amp; 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1-hr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1-hr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1-hr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1-hr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10-hr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10-hr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10-hr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10-hr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100-hr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100-hr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100-hr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100-hr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1,000-hr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1,000-hr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1,000-hr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1,000-hr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Vegetation</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Vegetation</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Vegetation</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Vegetation</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8.4</w:t>
                  </w:r>
                </w:p>
              </w:tc>
              <w:tc>
                <w:tcPr/>
                <w:p>
                  <w:pPr>
                    <w:pStyle w:val="Compact"/>
                    <w:jc w:val="center"/>
                  </w:pPr>
                  <w:r>
                    <w:t xml:space="preserve">25.32</w:t>
                  </w:r>
                </w:p>
              </w:tc>
            </w:tr>
          </w:tbl>
          <w:bookmarkEnd w:id="9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3889"/>
              <w:tblLayout w:type="fixed"/>
              <w:tblLook w:firstRow="1" w:lastRow="0" w:firstColumn="0" w:lastColumn="0" w:noHBand="0" w:noVBand="0" w:val="0020"/>
            </w:tblPr>
            <w:tblGrid>
              <w:gridCol w:w="1760"/>
              <w:gridCol w:w="1210"/>
              <w:gridCol w:w="1210"/>
              <w:gridCol w:w="88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1-hr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0.033</w:t>
                  </w:r>
                </w:p>
              </w:tc>
            </w:tr>
            <w:tr>
              <w:tc>
                <w:tcPr/>
                <w:p>
                  <w:pPr>
                    <w:pStyle w:val="Compact"/>
                    <w:jc w:val="center"/>
                  </w:pPr>
                  <w:r>
                    <w:t xml:space="preserve">Vegetation</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0.054</w:t>
                  </w:r>
                </w:p>
              </w:tc>
            </w:tr>
            <w:tr>
              <w:tc>
                <w:tcPr/>
                <w:p>
                  <w:pPr>
                    <w:pStyle w:val="Compact"/>
                    <w:jc w:val="center"/>
                  </w:pPr>
                  <w:r>
                    <w:t xml:space="preserve">Duff &amp; 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0.09</w:t>
                  </w:r>
                </w:p>
              </w:tc>
            </w:tr>
            <w:tr>
              <w:tc>
                <w:tcPr/>
                <w:p>
                  <w:pPr>
                    <w:pStyle w:val="Compact"/>
                    <w:jc w:val="center"/>
                  </w:pPr>
                  <w:r>
                    <w:t xml:space="preserve">1-hr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0.115</w:t>
                  </w:r>
                </w:p>
              </w:tc>
            </w:tr>
            <w:tr>
              <w:tc>
                <w:tcPr/>
                <w:p>
                  <w:pPr>
                    <w:pStyle w:val="Compact"/>
                    <w:jc w:val="center"/>
                  </w:pPr>
                  <w:r>
                    <w:t xml:space="preserve">1-hr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0.119</w:t>
                  </w:r>
                </w:p>
              </w:tc>
            </w:tr>
            <w:tr>
              <w:tc>
                <w:tcPr/>
                <w:p>
                  <w:pPr>
                    <w:pStyle w:val="Compact"/>
                    <w:jc w:val="center"/>
                  </w:pPr>
                  <w:r>
                    <w:t xml:space="preserve">Vegetation</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0.242</w:t>
                  </w:r>
                </w:p>
              </w:tc>
            </w:tr>
            <w:tr>
              <w:tc>
                <w:tcPr/>
                <w:p>
                  <w:pPr>
                    <w:pStyle w:val="Compact"/>
                    <w:jc w:val="center"/>
                  </w:pPr>
                  <w:r>
                    <w:t xml:space="preserve">Vegetation</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0.334</w:t>
                  </w:r>
                </w:p>
              </w:tc>
            </w:tr>
            <w:tr>
              <w:tc>
                <w:tcPr/>
                <w:p>
                  <w:pPr>
                    <w:pStyle w:val="Compact"/>
                    <w:jc w:val="center"/>
                  </w:pPr>
                  <w:r>
                    <w:t xml:space="preserve">1-hr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0.353</w:t>
                  </w:r>
                </w:p>
              </w:tc>
            </w:tr>
            <w:tr>
              <w:tc>
                <w:tcPr/>
                <w:p>
                  <w:pPr>
                    <w:pStyle w:val="Compact"/>
                    <w:jc w:val="center"/>
                  </w:pPr>
                  <w:r>
                    <w:t xml:space="preserve">Duff &amp; 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0.463</w:t>
                  </w:r>
                </w:p>
              </w:tc>
            </w:tr>
            <w:tr>
              <w:tc>
                <w:tcPr/>
                <w:p>
                  <w:pPr>
                    <w:pStyle w:val="Compact"/>
                    <w:jc w:val="center"/>
                  </w:pPr>
                  <w:r>
                    <w:t xml:space="preserve">Duff &amp; 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0.497</w:t>
                  </w:r>
                </w:p>
              </w:tc>
            </w:tr>
            <w:tr>
              <w:tc>
                <w:tcPr/>
                <w:p>
                  <w:pPr>
                    <w:pStyle w:val="Compact"/>
                    <w:jc w:val="center"/>
                  </w:pPr>
                  <w:r>
                    <w:t xml:space="preserve">Vegetation</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0.555</w:t>
                  </w:r>
                </w:p>
              </w:tc>
            </w:tr>
            <w:tr>
              <w:tc>
                <w:tcPr/>
                <w:p>
                  <w:pPr>
                    <w:pStyle w:val="Compact"/>
                    <w:jc w:val="center"/>
                  </w:pPr>
                  <w:r>
                    <w:t xml:space="preserve">100-hr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0.671</w:t>
                  </w:r>
                </w:p>
              </w:tc>
            </w:tr>
            <w:tr>
              <w:tc>
                <w:tcPr/>
                <w:p>
                  <w:pPr>
                    <w:pStyle w:val="Compact"/>
                    <w:jc w:val="center"/>
                  </w:pPr>
                  <w:r>
                    <w:t xml:space="preserve">Vegetation</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0.679</w:t>
                  </w:r>
                </w:p>
              </w:tc>
            </w:tr>
            <w:tr>
              <w:tc>
                <w:tcPr/>
                <w:p>
                  <w:pPr>
                    <w:pStyle w:val="Compact"/>
                    <w:jc w:val="center"/>
                  </w:pPr>
                  <w:r>
                    <w:t xml:space="preserve">1,000-hr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0.71</w:t>
                  </w:r>
                </w:p>
              </w:tc>
            </w:tr>
            <w:tr>
              <w:tc>
                <w:tcPr/>
                <w:p>
                  <w:pPr>
                    <w:pStyle w:val="Compact"/>
                    <w:jc w:val="center"/>
                  </w:pPr>
                  <w:r>
                    <w:t xml:space="preserve">100-hr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0.715</w:t>
                  </w:r>
                </w:p>
              </w:tc>
            </w:tr>
            <w:tr>
              <w:tc>
                <w:tcPr/>
                <w:p>
                  <w:pPr>
                    <w:pStyle w:val="Compact"/>
                    <w:jc w:val="center"/>
                  </w:pPr>
                  <w:r>
                    <w:t xml:space="preserve">10-hr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0.748</w:t>
                  </w:r>
                </w:p>
              </w:tc>
            </w:tr>
            <w:tr>
              <w:tc>
                <w:tcPr/>
                <w:p>
                  <w:pPr>
                    <w:pStyle w:val="Compact"/>
                    <w:jc w:val="center"/>
                  </w:pPr>
                  <w:r>
                    <w:t xml:space="preserve">Duff &amp; 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0.755</w:t>
                  </w:r>
                </w:p>
              </w:tc>
            </w:tr>
            <w:tr>
              <w:tc>
                <w:tcPr/>
                <w:p>
                  <w:pPr>
                    <w:pStyle w:val="Compact"/>
                    <w:jc w:val="center"/>
                  </w:pPr>
                  <w:r>
                    <w:t xml:space="preserve">Duff &amp; 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0.786</w:t>
                  </w:r>
                </w:p>
              </w:tc>
            </w:tr>
            <w:tr>
              <w:tc>
                <w:tcPr/>
                <w:p>
                  <w:pPr>
                    <w:pStyle w:val="Compact"/>
                    <w:jc w:val="center"/>
                  </w:pPr>
                  <w:r>
                    <w:t xml:space="preserve">1,000-hr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0.795</w:t>
                  </w:r>
                </w:p>
              </w:tc>
            </w:tr>
            <w:tr>
              <w:tc>
                <w:tcPr/>
                <w:p>
                  <w:pPr>
                    <w:pStyle w:val="Compact"/>
                    <w:jc w:val="center"/>
                  </w:pPr>
                  <w:r>
                    <w:t xml:space="preserve">1,000-hr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0.802</w:t>
                  </w:r>
                </w:p>
              </w:tc>
            </w:tr>
            <w:tr>
              <w:tc>
                <w:tcPr/>
                <w:p>
                  <w:pPr>
                    <w:pStyle w:val="Compact"/>
                    <w:jc w:val="center"/>
                  </w:pPr>
                  <w:r>
                    <w:t xml:space="preserve">10-hr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0.809</w:t>
                  </w:r>
                </w:p>
              </w:tc>
            </w:tr>
            <w:tr>
              <w:tc>
                <w:tcPr/>
                <w:p>
                  <w:pPr>
                    <w:pStyle w:val="Compact"/>
                    <w:jc w:val="center"/>
                  </w:pPr>
                  <w:r>
                    <w:t xml:space="preserve">1,000-hr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0.873</w:t>
                  </w:r>
                </w:p>
              </w:tc>
            </w:tr>
            <w:tr>
              <w:tc>
                <w:tcPr/>
                <w:p>
                  <w:pPr>
                    <w:pStyle w:val="Compact"/>
                    <w:jc w:val="center"/>
                  </w:pPr>
                  <w:r>
                    <w:t xml:space="preserve">1-hr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0.889</w:t>
                  </w:r>
                </w:p>
              </w:tc>
            </w:tr>
            <w:tr>
              <w:tc>
                <w:tcPr/>
                <w:p>
                  <w:pPr>
                    <w:pStyle w:val="Compact"/>
                    <w:jc w:val="center"/>
                  </w:pPr>
                  <w:r>
                    <w:t xml:space="preserve">1-hr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0.896</w:t>
                  </w:r>
                </w:p>
              </w:tc>
            </w:tr>
            <w:tr>
              <w:tc>
                <w:tcPr/>
                <w:p>
                  <w:pPr>
                    <w:pStyle w:val="Compact"/>
                    <w:jc w:val="center"/>
                  </w:pPr>
                  <w:r>
                    <w:t xml:space="preserve">Vegetation</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0.902</w:t>
                  </w:r>
                </w:p>
              </w:tc>
            </w:tr>
            <w:tr>
              <w:tc>
                <w:tcPr/>
                <w:p>
                  <w:pPr>
                    <w:pStyle w:val="Compact"/>
                    <w:jc w:val="center"/>
                  </w:pPr>
                  <w:r>
                    <w:t xml:space="preserve">100-hr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0.924</w:t>
                  </w:r>
                </w:p>
              </w:tc>
            </w:tr>
            <w:tr>
              <w:tc>
                <w:tcPr/>
                <w:p>
                  <w:pPr>
                    <w:pStyle w:val="Compact"/>
                    <w:jc w:val="center"/>
                  </w:pPr>
                  <w:r>
                    <w:t xml:space="preserve">10-hr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0.94</w:t>
                  </w:r>
                </w:p>
              </w:tc>
            </w:tr>
            <w:tr>
              <w:tc>
                <w:tcPr/>
                <w:p>
                  <w:pPr>
                    <w:pStyle w:val="Compact"/>
                    <w:jc w:val="center"/>
                  </w:pPr>
                  <w:r>
                    <w:t xml:space="preserve">100-hr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0.945</w:t>
                  </w:r>
                </w:p>
              </w:tc>
            </w:tr>
            <w:tr>
              <w:tc>
                <w:tcPr/>
                <w:p>
                  <w:pPr>
                    <w:pStyle w:val="Compact"/>
                    <w:jc w:val="center"/>
                  </w:pPr>
                  <w:r>
                    <w:t xml:space="preserve">100-hr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0.959</w:t>
                  </w:r>
                </w:p>
              </w:tc>
            </w:tr>
            <w:tr>
              <w:tc>
                <w:tcPr/>
                <w:p>
                  <w:pPr>
                    <w:pStyle w:val="Compact"/>
                    <w:jc w:val="center"/>
                  </w:pPr>
                  <w:r>
                    <w:t xml:space="preserve">10-hr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0.96</w:t>
                  </w:r>
                </w:p>
              </w:tc>
            </w:tr>
            <w:tr>
              <w:tc>
                <w:tcPr/>
                <w:p>
                  <w:pPr>
                    <w:pStyle w:val="Compact"/>
                    <w:jc w:val="center"/>
                  </w:pPr>
                  <w:r>
                    <w:t xml:space="preserve">10-hr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0.963</w:t>
                  </w:r>
                </w:p>
              </w:tc>
            </w:tr>
            <w:tr>
              <w:tc>
                <w:tcPr/>
                <w:p>
                  <w:pPr>
                    <w:pStyle w:val="Compact"/>
                    <w:jc w:val="center"/>
                  </w:pPr>
                  <w:r>
                    <w:t xml:space="preserve">Duff &amp; 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0.964</w:t>
                  </w:r>
                </w:p>
              </w:tc>
            </w:tr>
            <w:tr>
              <w:tc>
                <w:tcPr/>
                <w:p>
                  <w:pPr>
                    <w:pStyle w:val="Compact"/>
                    <w:jc w:val="center"/>
                  </w:pPr>
                  <w:r>
                    <w:t xml:space="preserve">1,000-hr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0.998</w:t>
                  </w:r>
                </w:p>
              </w:tc>
            </w:tr>
            <w:tr>
              <w:tc>
                <w:tcPr/>
                <w:p>
                  <w:pPr>
                    <w:pStyle w:val="Compact"/>
                    <w:jc w:val="center"/>
                  </w:pPr>
                  <w:r>
                    <w:t xml:space="preserve">1,000-hr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0.999</w:t>
                  </w:r>
                </w:p>
              </w:tc>
            </w:tr>
            <w:tr>
              <w:tc>
                <w:tcPr/>
                <w:p>
                  <w:pPr>
                    <w:pStyle w:val="Compact"/>
                    <w:jc w:val="center"/>
                  </w:pPr>
                  <w:r>
                    <w:t xml:space="preserve">100-hr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1</w:t>
                  </w:r>
                </w:p>
              </w:tc>
            </w:tr>
          </w:tbl>
          <w:bookmarkEnd w:id="9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0"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3611"/>
              <w:tblLayout w:type="fixed"/>
              <w:tblLook w:firstRow="1" w:lastRow="0" w:firstColumn="0" w:lastColumn="0" w:noHBand="0" w:noVBand="0" w:val="0020"/>
            </w:tblPr>
            <w:tblGrid>
              <w:gridCol w:w="1760"/>
              <w:gridCol w:w="990"/>
              <w:gridCol w:w="770"/>
              <w:gridCol w:w="1100"/>
              <w:gridCol w:w="1100"/>
            </w:tblGrid>
            <w:tr>
              <w:trPr>
                <w:tblHeader w:val="on"/>
              </w:trPr>
              <w:tc>
                <w:tcPr/>
                <w:p>
                  <w:pPr>
                    <w:pStyle w:val="Compact"/>
                    <w:jc w:val="center"/>
                  </w:pPr>
                  <w:r>
                    <w:t xml:space="preserve">Class</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Duff &amp; Litter</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1-hr</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10-hr</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100-hr</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1,000-hr</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Vegetation</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12.77</w:t>
                  </w:r>
                </w:p>
              </w:tc>
              <w:tc>
                <w:tcPr/>
                <w:p>
                  <w:pPr>
                    <w:pStyle w:val="Compact"/>
                    <w:jc w:val="center"/>
                  </w:pPr>
                  <w:r>
                    <w:t xml:space="preserve">26.6</w:t>
                  </w:r>
                </w:p>
              </w:tc>
            </w:tr>
          </w:tbl>
          <w:bookmarkEnd w:id="100"/>
          <w:p/>
        </w:tc>
      </w:tr>
    </w:tbl>
    <w:bookmarkEnd w:id="101"/>
    <w:bookmarkStart w:id="110" w:name="post-pct"/>
    <w:p>
      <w:pPr>
        <w:pStyle w:val="Heading3"/>
      </w:pPr>
      <w:r>
        <w:t xml:space="preserve">3.3.2 Post-pct</w:t>
      </w:r>
    </w:p>
    <w:p>
      <w:pPr>
        <w:pStyle w:val="FirstParagraph"/>
      </w:pPr>
      <w:r>
        <w:t xml:space="preserve">After PCT, duff &amp; litter was not modeled, vegetation difference was added. Model</w:t>
      </w:r>
      <w:r>
        <w:t xml:space="preserve"> </w:t>
      </w:r>
      <w:r>
        <w:t xml:space="preserve">selection resulted in somewhat more complex models for dispersion (</w:t>
      </w:r>
      <m:oMath>
        <m:r>
          <m:t>ϕ</m:t>
        </m:r>
      </m:oMath>
      <w:r>
        <w:t xml:space="preserve">) and</w:t>
      </w:r>
      <w:r>
        <w:t xml:space="preserve"> </w:t>
      </w:r>
      <w:r>
        <w:t xml:space="preserve">hurdle (</w:t>
      </w:r>
      <m:oMath>
        <m:r>
          <m:t>π</m:t>
        </m:r>
      </m:oMath>
      <w:r>
        <w:t xml:space="preserve">) components. For 1-hr fuels the dispersion component included</w:t>
      </w:r>
      <w:r>
        <w:t xml:space="preserve"> </w:t>
      </w:r>
      <w:r>
        <w:t xml:space="preserve">treatment and site predictors:</w:t>
      </w:r>
    </w:p>
    <w:p>
      <w:pPr>
        <w:pStyle w:val="BodyText"/>
      </w:pPr>
      <m:oMathPara>
        <m:oMathParaPr>
          <m:jc m:val="center"/>
        </m:oMathParaPr>
        <m:oMath>
          <m:r>
            <m:rPr>
              <m:sty m:val="p"/>
            </m:rPr>
            <m:t>log</m:t>
          </m:r>
          <m:d>
            <m:dPr>
              <m:begChr m:val="("/>
              <m:sepChr m:val=""/>
              <m:endChr m:val=")"/>
              <m:grow/>
            </m:dPr>
            <m:e>
              <m:sSubSup>
                <m:e>
                  <m:r>
                    <m:t>ϕ</m:t>
                  </m:r>
                </m:e>
                <m:sub>
                  <m:r>
                    <m:t>i</m:t>
                  </m:r>
                </m:sub>
                <m:sup>
                  <m:r>
                    <m:rPr>
                      <m:nor/>
                      <m:sty m:val="p"/>
                    </m:rPr>
                    <m:t>1hr</m:t>
                  </m:r>
                </m:sup>
              </m:sSubSup>
            </m:e>
          </m:d>
          <m:r>
            <m:rPr>
              <m:sty m:val="p"/>
            </m:rPr>
            <m:t>=</m:t>
          </m:r>
          <m:sSubSup>
            <m:e>
              <m:r>
                <m:t>β</m:t>
              </m:r>
            </m:e>
            <m:sub>
              <m:r>
                <m:t>0</m:t>
              </m:r>
            </m:sub>
            <m:sup>
              <m:d>
                <m:dPr>
                  <m:begChr m:val="("/>
                  <m:sepChr m:val=""/>
                  <m:endChr m:val=")"/>
                  <m:grow/>
                </m:dPr>
                <m:e>
                  <m:r>
                    <m:t>ϕ</m:t>
                  </m:r>
                  <m:r>
                    <m:rPr>
                      <m:sty m:val="p"/>
                    </m:rPr>
                    <m:t>,</m:t>
                  </m:r>
                  <m:r>
                    <m:rPr>
                      <m:nor/>
                      <m:sty m:val="p"/>
                    </m:rPr>
                    <m:t>1hr</m:t>
                  </m:r>
                </m:e>
              </m:d>
            </m:sup>
          </m:sSubSup>
          <m:r>
            <m:rPr>
              <m:sty m:val="p"/>
            </m:rPr>
            <m:t>+</m:t>
          </m:r>
          <m:sSubSup>
            <m:e>
              <m:r>
                <m:t>β</m:t>
              </m:r>
            </m:e>
            <m:sub>
              <m:r>
                <m:rPr>
                  <m:nor/>
                  <m:sty m:val="p"/>
                </m:rPr>
                <m:t>trt</m:t>
              </m:r>
            </m:sub>
            <m:sup>
              <m:d>
                <m:dPr>
                  <m:begChr m:val="("/>
                  <m:sepChr m:val=""/>
                  <m:endChr m:val=")"/>
                  <m:grow/>
                </m:dPr>
                <m:e>
                  <m:r>
                    <m:t>ϕ</m:t>
                  </m:r>
                  <m:r>
                    <m:rPr>
                      <m:sty m:val="p"/>
                    </m:rPr>
                    <m:t>,</m:t>
                  </m:r>
                  <m:r>
                    <m:rPr>
                      <m:nor/>
                      <m:sty m:val="p"/>
                    </m:rPr>
                    <m:t>1hr</m:t>
                  </m:r>
                </m:e>
              </m:d>
            </m:sup>
          </m:sSubSup>
          <m:r>
            <m:rPr>
              <m:sty m:val="p"/>
            </m:rPr>
            <m:t>⋅</m:t>
          </m:r>
          <m:sSub>
            <m:e>
              <m:r>
                <m:rPr>
                  <m:nor/>
                  <m:sty m:val="p"/>
                </m:rPr>
                <m:t>Trt</m:t>
              </m:r>
            </m:e>
            <m:sub>
              <m:r>
                <m:t>i</m:t>
              </m:r>
            </m:sub>
          </m:sSub>
          <m:r>
            <m:rPr>
              <m:sty m:val="p"/>
            </m:rPr>
            <m:t>+</m:t>
          </m:r>
          <m:sSubSup>
            <m:e>
              <m:r>
                <m:t>β</m:t>
              </m:r>
            </m:e>
            <m:sub>
              <m:r>
                <m:rPr>
                  <m:nor/>
                  <m:sty m:val="p"/>
                </m:rPr>
                <m:t>site</m:t>
              </m:r>
            </m:sub>
            <m:sup>
              <m:d>
                <m:dPr>
                  <m:begChr m:val="("/>
                  <m:sepChr m:val=""/>
                  <m:endChr m:val=")"/>
                  <m:grow/>
                </m:dPr>
                <m:e>
                  <m:r>
                    <m:t>ϕ</m:t>
                  </m:r>
                  <m:r>
                    <m:rPr>
                      <m:sty m:val="p"/>
                    </m:rPr>
                    <m:t>,</m:t>
                  </m:r>
                  <m:r>
                    <m:rPr>
                      <m:nor/>
                      <m:sty m:val="p"/>
                    </m:rPr>
                    <m:t>1hr</m:t>
                  </m:r>
                </m:e>
              </m:d>
            </m:sup>
          </m:sSubSup>
          <m:r>
            <m:rPr>
              <m:sty m:val="p"/>
            </m:rPr>
            <m:t>⋅</m:t>
          </m:r>
          <m:sSub>
            <m:e>
              <m:r>
                <m:rPr>
                  <m:nor/>
                  <m:sty m:val="p"/>
                </m:rPr>
                <m:t>Site</m:t>
              </m:r>
            </m:e>
            <m:sub>
              <m:r>
                <m:t>i</m:t>
              </m:r>
            </m:sub>
          </m:sSub>
        </m:oMath>
      </m:oMathPara>
    </w:p>
    <w:p>
      <w:pPr>
        <w:pStyle w:val="FirstParagraph"/>
      </w:pPr>
      <w:r>
        <w:t xml:space="preserve">,</w:t>
      </w:r>
    </w:p>
    <w:p>
      <w:pPr>
        <w:pStyle w:val="BodyText"/>
      </w:pPr>
      <w:r>
        <w:t xml:space="preserve">and for 100-hr fuels, the dispersion and hurdle components included treatment</w:t>
      </w:r>
      <w:r>
        <w:t xml:space="preserve"> </w:t>
      </w:r>
      <w:r>
        <w:t xml:space="preserve">and site predictors:</w:t>
      </w:r>
    </w:p>
    <w:p>
      <w:pPr>
        <w:pStyle w:val="BodyText"/>
      </w:pPr>
      <m:oMathPara>
        <m:oMathParaPr>
          <m:jc m:val="center"/>
        </m:oMathParaPr>
        <m:oMath>
          <m:r>
            <m:rPr>
              <m:sty m:val="p"/>
            </m:rPr>
            <m:t>log</m:t>
          </m:r>
          <m:d>
            <m:dPr>
              <m:begChr m:val="("/>
              <m:sepChr m:val=""/>
              <m:endChr m:val=")"/>
              <m:grow/>
            </m:dPr>
            <m:e>
              <m:sSubSup>
                <m:e>
                  <m:r>
                    <m:t>ϕ</m:t>
                  </m:r>
                </m:e>
                <m:sub>
                  <m:r>
                    <m:t>i</m:t>
                  </m:r>
                </m:sub>
                <m:sup>
                  <m:r>
                    <m:rPr>
                      <m:nor/>
                      <m:sty m:val="p"/>
                    </m:rPr>
                    <m:t>100hr</m:t>
                  </m:r>
                </m:sup>
              </m:sSubSup>
            </m:e>
          </m:d>
          <m:r>
            <m:rPr>
              <m:sty m:val="p"/>
            </m:rPr>
            <m:t>=</m:t>
          </m:r>
          <m:sSubSup>
            <m:e>
              <m:r>
                <m:t>β</m:t>
              </m:r>
            </m:e>
            <m:sub>
              <m:r>
                <m:t>0</m:t>
              </m:r>
            </m:sub>
            <m:sup>
              <m:d>
                <m:dPr>
                  <m:begChr m:val="("/>
                  <m:sepChr m:val=""/>
                  <m:endChr m:val=")"/>
                  <m:grow/>
                </m:dPr>
                <m:e>
                  <m:r>
                    <m:t>ϕ</m:t>
                  </m:r>
                  <m:r>
                    <m:rPr>
                      <m:sty m:val="p"/>
                    </m:rPr>
                    <m:t>,</m:t>
                  </m:r>
                  <m:r>
                    <m:rPr>
                      <m:nor/>
                      <m:sty m:val="p"/>
                    </m:rPr>
                    <m:t>100hr</m:t>
                  </m:r>
                </m:e>
              </m:d>
            </m:sup>
          </m:sSubSup>
          <m:r>
            <m:rPr>
              <m:sty m:val="p"/>
            </m:rPr>
            <m:t>+</m:t>
          </m:r>
          <m:sSubSup>
            <m:e>
              <m:r>
                <m:t>β</m:t>
              </m:r>
            </m:e>
            <m:sub>
              <m:r>
                <m:rPr>
                  <m:nor/>
                  <m:sty m:val="p"/>
                </m:rPr>
                <m:t>trt</m:t>
              </m:r>
            </m:sub>
            <m:sup>
              <m:d>
                <m:dPr>
                  <m:begChr m:val="("/>
                  <m:sepChr m:val=""/>
                  <m:endChr m:val=")"/>
                  <m:grow/>
                </m:dPr>
                <m:e>
                  <m:r>
                    <m:t>ϕ</m:t>
                  </m:r>
                  <m:r>
                    <m:rPr>
                      <m:sty m:val="p"/>
                    </m:rPr>
                    <m:t>,</m:t>
                  </m:r>
                  <m:r>
                    <m:rPr>
                      <m:nor/>
                      <m:sty m:val="p"/>
                    </m:rPr>
                    <m:t>100hr</m:t>
                  </m:r>
                </m:e>
              </m:d>
            </m:sup>
          </m:sSubSup>
          <m:r>
            <m:rPr>
              <m:sty m:val="p"/>
            </m:rPr>
            <m:t>⋅</m:t>
          </m:r>
          <m:sSub>
            <m:e>
              <m:r>
                <m:rPr>
                  <m:nor/>
                  <m:sty m:val="p"/>
                </m:rPr>
                <m:t>Trt</m:t>
              </m:r>
            </m:e>
            <m:sub>
              <m:r>
                <m:t>i</m:t>
              </m:r>
            </m:sub>
          </m:sSub>
          <m:r>
            <m:rPr>
              <m:sty m:val="p"/>
            </m:rPr>
            <m:t>+</m:t>
          </m:r>
          <m:sSubSup>
            <m:e>
              <m:r>
                <m:t>β</m:t>
              </m:r>
            </m:e>
            <m:sub>
              <m:r>
                <m:rPr>
                  <m:nor/>
                  <m:sty m:val="p"/>
                </m:rPr>
                <m:t>site</m:t>
              </m:r>
            </m:sub>
            <m:sup>
              <m:d>
                <m:dPr>
                  <m:begChr m:val="("/>
                  <m:sepChr m:val=""/>
                  <m:endChr m:val=")"/>
                  <m:grow/>
                </m:dPr>
                <m:e>
                  <m:r>
                    <m:t>ϕ</m:t>
                  </m:r>
                  <m:r>
                    <m:rPr>
                      <m:sty m:val="p"/>
                    </m:rPr>
                    <m:t>,</m:t>
                  </m:r>
                  <m:r>
                    <m:rPr>
                      <m:nor/>
                      <m:sty m:val="p"/>
                    </m:rPr>
                    <m:t>100hr</m:t>
                  </m:r>
                </m:e>
              </m:d>
            </m:sup>
          </m:sSubSup>
          <m:r>
            <m:rPr>
              <m:sty m:val="p"/>
            </m:rPr>
            <m:t>⋅</m:t>
          </m:r>
          <m:sSub>
            <m:e>
              <m:r>
                <m:rPr>
                  <m:nor/>
                  <m:sty m:val="p"/>
                </m:rPr>
                <m:t>Site</m:t>
              </m:r>
            </m:e>
            <m:sub>
              <m:r>
                <m:t>i</m:t>
              </m:r>
            </m:sub>
          </m:sSub>
        </m:oMath>
      </m:oMathPara>
    </w:p>
    <w:p>
      <w:pPr>
        <w:pStyle w:val="FirstParagraph"/>
      </w:pPr>
      <m:oMathPara>
        <m:oMathParaPr>
          <m:jc m:val="center"/>
        </m:oMathParaPr>
        <m:oMath>
          <m:r>
            <m:rPr>
              <m:nor/>
              <m:sty m:val="p"/>
            </m:rPr>
            <m:t>logit</m:t>
          </m:r>
          <m:d>
            <m:dPr>
              <m:begChr m:val="("/>
              <m:sepChr m:val=""/>
              <m:endChr m:val=")"/>
              <m:grow/>
            </m:dPr>
            <m:e>
              <m:sSubSup>
                <m:e>
                  <m:r>
                    <m:t>π</m:t>
                  </m:r>
                </m:e>
                <m:sub>
                  <m:r>
                    <m:t>i</m:t>
                  </m:r>
                </m:sub>
                <m:sup>
                  <m:r>
                    <m:rPr>
                      <m:nor/>
                      <m:sty m:val="p"/>
                    </m:rPr>
                    <m:t>100hr</m:t>
                  </m:r>
                </m:sup>
              </m:sSubSup>
            </m:e>
          </m:d>
          <m:r>
            <m:rPr>
              <m:sty m:val="p"/>
            </m:rPr>
            <m:t>=</m:t>
          </m:r>
          <m:sSubSup>
            <m:e>
              <m:r>
                <m:t>β</m:t>
              </m:r>
            </m:e>
            <m:sub>
              <m:r>
                <m:t>0</m:t>
              </m:r>
            </m:sub>
            <m:sup>
              <m:d>
                <m:dPr>
                  <m:begChr m:val="("/>
                  <m:sepChr m:val=""/>
                  <m:endChr m:val=")"/>
                  <m:grow/>
                </m:dPr>
                <m:e>
                  <m:r>
                    <m:t>π</m:t>
                  </m:r>
                  <m:r>
                    <m:rPr>
                      <m:sty m:val="p"/>
                    </m:rPr>
                    <m:t>,</m:t>
                  </m:r>
                  <m:r>
                    <m:rPr>
                      <m:nor/>
                      <m:sty m:val="p"/>
                    </m:rPr>
                    <m:t>100hr</m:t>
                  </m:r>
                </m:e>
              </m:d>
            </m:sup>
          </m:sSubSup>
          <m:r>
            <m:rPr>
              <m:sty m:val="p"/>
            </m:rPr>
            <m:t>+</m:t>
          </m:r>
          <m:sSubSup>
            <m:e>
              <m:r>
                <m:t>β</m:t>
              </m:r>
            </m:e>
            <m:sub>
              <m:r>
                <m:rPr>
                  <m:nor/>
                  <m:sty m:val="p"/>
                </m:rPr>
                <m:t>trt</m:t>
              </m:r>
            </m:sub>
            <m:sup>
              <m:d>
                <m:dPr>
                  <m:begChr m:val="("/>
                  <m:sepChr m:val=""/>
                  <m:endChr m:val=")"/>
                  <m:grow/>
                </m:dPr>
                <m:e>
                  <m:r>
                    <m:t>π</m:t>
                  </m:r>
                  <m:r>
                    <m:rPr>
                      <m:sty m:val="p"/>
                    </m:rPr>
                    <m:t>,</m:t>
                  </m:r>
                  <m:r>
                    <m:rPr>
                      <m:nor/>
                      <m:sty m:val="p"/>
                    </m:rPr>
                    <m:t>100hr</m:t>
                  </m:r>
                </m:e>
              </m:d>
            </m:sup>
          </m:sSubSup>
          <m:r>
            <m:rPr>
              <m:sty m:val="p"/>
            </m:rPr>
            <m:t>⋅</m:t>
          </m:r>
          <m:sSub>
            <m:e>
              <m:r>
                <m:rPr>
                  <m:nor/>
                  <m:sty m:val="p"/>
                </m:rPr>
                <m:t>Trt</m:t>
              </m:r>
            </m:e>
            <m:sub>
              <m:r>
                <m:t>i</m:t>
              </m:r>
            </m:sub>
          </m:sSub>
          <m:r>
            <m:rPr>
              <m:sty m:val="p"/>
            </m:rPr>
            <m:t>+</m:t>
          </m:r>
          <m:sSubSup>
            <m:e>
              <m:r>
                <m:t>β</m:t>
              </m:r>
            </m:e>
            <m:sub>
              <m:r>
                <m:rPr>
                  <m:nor/>
                  <m:sty m:val="p"/>
                </m:rPr>
                <m:t>site</m:t>
              </m:r>
            </m:sub>
            <m:sup>
              <m:d>
                <m:dPr>
                  <m:begChr m:val="("/>
                  <m:sepChr m:val=""/>
                  <m:endChr m:val=")"/>
                  <m:grow/>
                </m:dPr>
                <m:e>
                  <m:r>
                    <m:t>π</m:t>
                  </m:r>
                  <m:r>
                    <m:rPr>
                      <m:sty m:val="p"/>
                    </m:rPr>
                    <m:t>,</m:t>
                  </m:r>
                  <m:r>
                    <m:rPr>
                      <m:nor/>
                      <m:sty m:val="p"/>
                    </m:rPr>
                    <m:t>100hr</m:t>
                  </m:r>
                </m:e>
              </m:d>
            </m:sup>
          </m:sSubSup>
          <m:r>
            <m:rPr>
              <m:sty m:val="p"/>
            </m:rPr>
            <m:t>⋅</m:t>
          </m:r>
          <m:sSub>
            <m:e>
              <m:r>
                <m:rPr>
                  <m:nor/>
                  <m:sty m:val="p"/>
                </m:rPr>
                <m:t>Site</m:t>
              </m:r>
            </m:e>
            <m:sub>
              <m:r>
                <m:t>i</m:t>
              </m:r>
            </m:sub>
          </m:sSub>
        </m:oMath>
      </m:oMathPara>
    </w:p>
    <w:p>
      <w:pPr>
        <w:pStyle w:val="FirstParagraph"/>
      </w:pPr>
      <w:r>
        <w:t xml:space="preserve">.</w:t>
      </w:r>
    </w:p>
    <w:p>
      <w:pPr>
        <w:pStyle w:val="BodyText"/>
      </w:pPr>
      <w:r>
        <w:t xml:space="preserve">The dispersion and hurdle components for the rest of the fuel models included</w:t>
      </w:r>
      <w:r>
        <w:t xml:space="preserve"> </w:t>
      </w:r>
      <w:r>
        <w:t xml:space="preserve">only an intercept.</w:t>
      </w:r>
    </w:p>
    <w:p>
      <w:pPr>
        <w:pStyle w:val="BodyText"/>
      </w:pPr>
      <w:r>
        <w:t xml:space="preserve">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tbl-fuel-post-pct"/>
          <w:p>
            <w:pPr>
              <w:jc w:val="center"/>
            </w:pPr>
            <w:pPr>
              <w:jc w:val="left"/>
              <w:spacing w:before="200"/>
              <w:pStyle w:val="ImageCaption"/>
            </w:pPr>
            <w:r>
              <w:t xml:space="preserve">Table 3.13: Model specifications for six fuel classes after pct.</w:t>
            </w:r>
          </w:p>
          <w:tbl>
            <w:tblPr>
              <w:tblStyle w:val="Table"/>
              <w:tblW w:type="pct" w:w="4167"/>
              <w:tblLayout w:type="fixed"/>
              <w:tblLook w:firstRow="1" w:lastRow="0" w:firstColumn="0" w:lastColumn="0" w:noHBand="0" w:noVBand="0" w:val="0020"/>
            </w:tblPr>
            <w:tblGrid>
              <w:gridCol w:w="2640"/>
              <w:gridCol w:w="2090"/>
              <w:gridCol w:w="1870"/>
            </w:tblGrid>
            <w:tr>
              <w:trPr>
                <w:tblHeader w:val="on"/>
              </w:trPr>
              <w:tc>
                <w:tcPr/>
                <w:p>
                  <w:pPr>
                    <w:pStyle w:val="Compact"/>
                    <w:jc w:val="center"/>
                  </w:pPr>
                  <w:r>
                    <w:t xml:space="preserve">class</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~1</w:t>
                  </w:r>
                </w:p>
              </w:tc>
              <w:tc>
                <w:tcPr/>
                <w:p>
                  <w:pPr>
                    <w:pStyle w:val="Compact"/>
                    <w:jc w:val="center"/>
                  </w:pPr>
                  <w:r>
                    <w:t xml:space="preserve">~1</w:t>
                  </w:r>
                </w:p>
              </w:tc>
            </w:tr>
          </w:tbl>
          <w:bookmarkEnd w:id="102"/>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6" w:name="fig-fuel-post-pct"/>
          <w:p>
            <w:pPr>
              <w:pStyle w:val="Compact"/>
              <w:jc w:val="center"/>
            </w:pPr>
            <w:r>
              <w:drawing>
                <wp:inline>
                  <wp:extent cx="5334000" cy="2667000"/>
                  <wp:effectExtent b="0" l="0" r="0" t="0"/>
                  <wp:docPr descr="" title="" id="104" name="Picture"/>
                  <a:graphic>
                    <a:graphicData uri="http://schemas.openxmlformats.org/drawingml/2006/picture">
                      <pic:pic>
                        <pic:nvPicPr>
                          <pic:cNvPr descr="thesis/results_files/figure-docx/fig-fuel-post-pct-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6"/>
        </w:tc>
      </w:tr>
    </w:tbl>
    <w:tbl>
      <w:tblPr>
        <w:tblStyle w:val="Table"/>
        <w:tblW w:type="pct" w:w="5000"/>
        <w:tblLayout w:type="fixed"/>
        <w:tblLook w:firstRow="0" w:lastRow="0" w:firstColumn="0" w:lastColumn="0" w:noHBand="0" w:noVBand="0" w:val="0000"/>
      </w:tblPr>
      <w:tblGrid>
        <w:gridCol w:w="7920"/>
      </w:tblGrid>
      <w:tr>
        <w:tc>
          <w:tcPr/>
          <w:bookmarkStart w:id="107"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726"/>
              <w:tblLayout w:type="fixed"/>
              <w:tblLook w:firstRow="1" w:lastRow="0" w:firstColumn="0" w:lastColumn="0" w:noHBand="0" w:noVBand="0" w:val="0020"/>
            </w:tblPr>
            <w:tblGrid>
              <w:gridCol w:w="2603"/>
              <w:gridCol w:w="867"/>
              <w:gridCol w:w="976"/>
              <w:gridCol w:w="867"/>
              <w:gridCol w:w="1084"/>
              <w:gridCol w:w="1084"/>
            </w:tblGrid>
            <w:tr>
              <w:trPr>
                <w:tblHeader w:val="on"/>
              </w:trPr>
              <w:tc>
                <w:tcPr/>
                <w:p>
                  <w:pPr>
                    <w:pStyle w:val="Compact"/>
                    <w:jc w:val="center"/>
                  </w:pPr>
                  <w:r>
                    <w:t xml:space="preserve">Class</w:t>
                  </w:r>
                </w:p>
              </w:tc>
              <w:tc>
                <w:tcPr/>
                <w:p>
                  <w:pPr>
                    <w:pStyle w:val="Compact"/>
                    <w:jc w:val="center"/>
                  </w:pPr>
                  <w:r>
                    <w:t xml:space="preserve">Treat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1-hr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1-hr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1-hr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1-hr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10-hr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10-hr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10-hr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10-hr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100-hr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100-hr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100-hr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100-hr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1,000-hr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1,000-hr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1,000-hr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1,000-hr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Vegetation</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Vegetation</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Vegetation</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Vegetation</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Vegetation Difference</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Vegetation Difference</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Vegetation Difference</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Vegetation Difference</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5.91</w:t>
                  </w:r>
                </w:p>
              </w:tc>
              <w:tc>
                <w:tcPr/>
                <w:p>
                  <w:pPr>
                    <w:pStyle w:val="Compact"/>
                    <w:jc w:val="center"/>
                  </w:pPr>
                  <w:r>
                    <w:t xml:space="preserve">17.7</w:t>
                  </w:r>
                </w:p>
              </w:tc>
            </w:tr>
          </w:tbl>
          <w:bookmarkEnd w:id="10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8"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4306"/>
              <w:tblLayout w:type="fixed"/>
              <w:tblLook w:firstRow="1" w:lastRow="0" w:firstColumn="0" w:lastColumn="0" w:noHBand="0" w:noVBand="0" w:val="0020"/>
            </w:tblPr>
            <w:tblGrid>
              <w:gridCol w:w="2640"/>
              <w:gridCol w:w="1210"/>
              <w:gridCol w:w="990"/>
              <w:gridCol w:w="88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10-hr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0.00026</w:t>
                  </w:r>
                </w:p>
              </w:tc>
            </w:tr>
            <w:tr>
              <w:tc>
                <w:tcPr/>
                <w:p>
                  <w:pPr>
                    <w:pStyle w:val="Compact"/>
                    <w:jc w:val="center"/>
                  </w:pPr>
                  <w:r>
                    <w:t xml:space="preserve">10-hr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0.00172</w:t>
                  </w:r>
                </w:p>
              </w:tc>
            </w:tr>
            <w:tr>
              <w:tc>
                <w:tcPr/>
                <w:p>
                  <w:pPr>
                    <w:pStyle w:val="Compact"/>
                    <w:jc w:val="center"/>
                  </w:pPr>
                  <w:r>
                    <w:t xml:space="preserve">1-hr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0.00585</w:t>
                  </w:r>
                </w:p>
              </w:tc>
            </w:tr>
            <w:tr>
              <w:tc>
                <w:tcPr/>
                <w:p>
                  <w:pPr>
                    <w:pStyle w:val="Compact"/>
                    <w:jc w:val="center"/>
                  </w:pPr>
                  <w:r>
                    <w:t xml:space="preserve">1-hr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0.00889</w:t>
                  </w:r>
                </w:p>
              </w:tc>
            </w:tr>
            <w:tr>
              <w:tc>
                <w:tcPr/>
                <w:p>
                  <w:pPr>
                    <w:pStyle w:val="Compact"/>
                    <w:jc w:val="center"/>
                  </w:pPr>
                  <w:r>
                    <w:t xml:space="preserve">1-hr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0.00919</w:t>
                  </w:r>
                </w:p>
              </w:tc>
            </w:tr>
            <w:tr>
              <w:tc>
                <w:tcPr/>
                <w:p>
                  <w:pPr>
                    <w:pStyle w:val="Compact"/>
                    <w:jc w:val="center"/>
                  </w:pPr>
                  <w:r>
                    <w:t xml:space="preserve">100-hr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0.02573</w:t>
                  </w:r>
                </w:p>
              </w:tc>
            </w:tr>
            <w:tr>
              <w:tc>
                <w:tcPr/>
                <w:p>
                  <w:pPr>
                    <w:pStyle w:val="Compact"/>
                    <w:jc w:val="center"/>
                  </w:pPr>
                  <w:r>
                    <w:t xml:space="preserve">10-hr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0.02637</w:t>
                  </w:r>
                </w:p>
              </w:tc>
            </w:tr>
            <w:tr>
              <w:tc>
                <w:tcPr/>
                <w:p>
                  <w:pPr>
                    <w:pStyle w:val="Compact"/>
                    <w:jc w:val="center"/>
                  </w:pPr>
                  <w:r>
                    <w:t xml:space="preserve">Vegetation Difference</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0.05357</w:t>
                  </w:r>
                </w:p>
              </w:tc>
            </w:tr>
            <w:tr>
              <w:tc>
                <w:tcPr/>
                <w:p>
                  <w:pPr>
                    <w:pStyle w:val="Compact"/>
                    <w:jc w:val="center"/>
                  </w:pPr>
                  <w:r>
                    <w:t xml:space="preserve">10-hr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0.06286</w:t>
                  </w:r>
                </w:p>
              </w:tc>
            </w:tr>
            <w:tr>
              <w:tc>
                <w:tcPr/>
                <w:p>
                  <w:pPr>
                    <w:pStyle w:val="Compact"/>
                    <w:jc w:val="center"/>
                  </w:pPr>
                  <w:r>
                    <w:t xml:space="preserve">Vegetation Difference</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0.08602</w:t>
                  </w:r>
                </w:p>
              </w:tc>
            </w:tr>
            <w:tr>
              <w:tc>
                <w:tcPr/>
                <w:p>
                  <w:pPr>
                    <w:pStyle w:val="Compact"/>
                    <w:jc w:val="center"/>
                  </w:pPr>
                  <w:r>
                    <w:t xml:space="preserve">1,000-hr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0.12359</w:t>
                  </w:r>
                </w:p>
              </w:tc>
            </w:tr>
            <w:tr>
              <w:tc>
                <w:tcPr/>
                <w:p>
                  <w:pPr>
                    <w:pStyle w:val="Compact"/>
                    <w:jc w:val="center"/>
                  </w:pPr>
                  <w:r>
                    <w:t xml:space="preserve">1,000-hr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0.14104</w:t>
                  </w:r>
                </w:p>
              </w:tc>
            </w:tr>
            <w:tr>
              <w:tc>
                <w:tcPr/>
                <w:p>
                  <w:pPr>
                    <w:pStyle w:val="Compact"/>
                    <w:jc w:val="center"/>
                  </w:pPr>
                  <w:r>
                    <w:t xml:space="preserve">100-hr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0.1565</w:t>
                  </w:r>
                </w:p>
              </w:tc>
            </w:tr>
            <w:tr>
              <w:tc>
                <w:tcPr/>
                <w:p>
                  <w:pPr>
                    <w:pStyle w:val="Compact"/>
                    <w:jc w:val="center"/>
                  </w:pPr>
                  <w:r>
                    <w:t xml:space="preserve">100-hr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0.17315</w:t>
                  </w:r>
                </w:p>
              </w:tc>
            </w:tr>
            <w:tr>
              <w:tc>
                <w:tcPr/>
                <w:p>
                  <w:pPr>
                    <w:pStyle w:val="Compact"/>
                    <w:jc w:val="center"/>
                  </w:pPr>
                  <w:r>
                    <w:t xml:space="preserve">10-hr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0.24322</w:t>
                  </w:r>
                </w:p>
              </w:tc>
            </w:tr>
            <w:tr>
              <w:tc>
                <w:tcPr/>
                <w:p>
                  <w:pPr>
                    <w:pStyle w:val="Compact"/>
                    <w:jc w:val="center"/>
                  </w:pPr>
                  <w:r>
                    <w:t xml:space="preserve">1,000-hr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0.26381</w:t>
                  </w:r>
                </w:p>
              </w:tc>
            </w:tr>
            <w:tr>
              <w:tc>
                <w:tcPr/>
                <w:p>
                  <w:pPr>
                    <w:pStyle w:val="Compact"/>
                    <w:jc w:val="center"/>
                  </w:pPr>
                  <w:r>
                    <w:t xml:space="preserve">1,000-hr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0.31242</w:t>
                  </w:r>
                </w:p>
              </w:tc>
            </w:tr>
            <w:tr>
              <w:tc>
                <w:tcPr/>
                <w:p>
                  <w:pPr>
                    <w:pStyle w:val="Compact"/>
                    <w:jc w:val="center"/>
                  </w:pPr>
                  <w:r>
                    <w:t xml:space="preserve">Vegetation Difference</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0.36644</w:t>
                  </w:r>
                </w:p>
              </w:tc>
            </w:tr>
            <w:tr>
              <w:tc>
                <w:tcPr/>
                <w:p>
                  <w:pPr>
                    <w:pStyle w:val="Compact"/>
                    <w:jc w:val="center"/>
                  </w:pPr>
                  <w:r>
                    <w:t xml:space="preserve">Vegetation Difference</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0.41898</w:t>
                  </w:r>
                </w:p>
              </w:tc>
            </w:tr>
            <w:tr>
              <w:tc>
                <w:tcPr/>
                <w:p>
                  <w:pPr>
                    <w:pStyle w:val="Compact"/>
                    <w:jc w:val="center"/>
                  </w:pPr>
                  <w:r>
                    <w:t xml:space="preserve">1-hr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0.49237</w:t>
                  </w:r>
                </w:p>
              </w:tc>
            </w:tr>
            <w:tr>
              <w:tc>
                <w:tcPr/>
                <w:p>
                  <w:pPr>
                    <w:pStyle w:val="Compact"/>
                    <w:jc w:val="center"/>
                  </w:pPr>
                  <w:r>
                    <w:t xml:space="preserve">100-hr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0.51297</w:t>
                  </w:r>
                </w:p>
              </w:tc>
            </w:tr>
            <w:tr>
              <w:tc>
                <w:tcPr/>
                <w:p>
                  <w:pPr>
                    <w:pStyle w:val="Compact"/>
                    <w:jc w:val="center"/>
                  </w:pPr>
                  <w:r>
                    <w:t xml:space="preserve">Vegetation</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0.51617</w:t>
                  </w:r>
                </w:p>
              </w:tc>
            </w:tr>
            <w:tr>
              <w:tc>
                <w:tcPr/>
                <w:p>
                  <w:pPr>
                    <w:pStyle w:val="Compact"/>
                    <w:jc w:val="center"/>
                  </w:pPr>
                  <w:r>
                    <w:t xml:space="preserve">100-hr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0.54089</w:t>
                  </w:r>
                </w:p>
              </w:tc>
            </w:tr>
            <w:tr>
              <w:tc>
                <w:tcPr/>
                <w:p>
                  <w:pPr>
                    <w:pStyle w:val="Compact"/>
                    <w:jc w:val="center"/>
                  </w:pPr>
                  <w:r>
                    <w:t xml:space="preserve">Vegetation Difference</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0.59869</w:t>
                  </w:r>
                </w:p>
              </w:tc>
            </w:tr>
            <w:tr>
              <w:tc>
                <w:tcPr/>
                <w:p>
                  <w:pPr>
                    <w:pStyle w:val="Compact"/>
                    <w:jc w:val="center"/>
                  </w:pPr>
                  <w:r>
                    <w:t xml:space="preserve">10-hr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0.60281</w:t>
                  </w:r>
                </w:p>
              </w:tc>
            </w:tr>
            <w:tr>
              <w:tc>
                <w:tcPr/>
                <w:p>
                  <w:pPr>
                    <w:pStyle w:val="Compact"/>
                    <w:jc w:val="center"/>
                  </w:pPr>
                  <w:r>
                    <w:t xml:space="preserve">Vegetation</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0.68792</w:t>
                  </w:r>
                </w:p>
              </w:tc>
            </w:tr>
            <w:tr>
              <w:tc>
                <w:tcPr/>
                <w:p>
                  <w:pPr>
                    <w:pStyle w:val="Compact"/>
                    <w:jc w:val="center"/>
                  </w:pPr>
                  <w:r>
                    <w:t xml:space="preserve">1-hr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0.6903</w:t>
                  </w:r>
                </w:p>
              </w:tc>
            </w:tr>
            <w:tr>
              <w:tc>
                <w:tcPr/>
                <w:p>
                  <w:pPr>
                    <w:pStyle w:val="Compact"/>
                    <w:jc w:val="center"/>
                  </w:pPr>
                  <w:r>
                    <w:t xml:space="preserve">Vegetation</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0.7434</w:t>
                  </w:r>
                </w:p>
              </w:tc>
            </w:tr>
            <w:tr>
              <w:tc>
                <w:tcPr/>
                <w:p>
                  <w:pPr>
                    <w:pStyle w:val="Compact"/>
                    <w:jc w:val="center"/>
                  </w:pPr>
                  <w:r>
                    <w:t xml:space="preserve">100-hr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0.80002</w:t>
                  </w:r>
                </w:p>
              </w:tc>
            </w:tr>
            <w:tr>
              <w:tc>
                <w:tcPr/>
                <w:p>
                  <w:pPr>
                    <w:pStyle w:val="Compact"/>
                    <w:jc w:val="center"/>
                  </w:pPr>
                  <w:r>
                    <w:t xml:space="preserve">1,000-hr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0.82556</w:t>
                  </w:r>
                </w:p>
              </w:tc>
            </w:tr>
            <w:tr>
              <w:tc>
                <w:tcPr/>
                <w:p>
                  <w:pPr>
                    <w:pStyle w:val="Compact"/>
                    <w:jc w:val="center"/>
                  </w:pPr>
                  <w:r>
                    <w:t xml:space="preserve">Vegetation</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0.92729</w:t>
                  </w:r>
                </w:p>
              </w:tc>
            </w:tr>
            <w:tr>
              <w:tc>
                <w:tcPr/>
                <w:p>
                  <w:pPr>
                    <w:pStyle w:val="Compact"/>
                    <w:jc w:val="center"/>
                  </w:pPr>
                  <w:r>
                    <w:t xml:space="preserve">Vegetation</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0.94512</w:t>
                  </w:r>
                </w:p>
              </w:tc>
            </w:tr>
            <w:tr>
              <w:tc>
                <w:tcPr/>
                <w:p>
                  <w:pPr>
                    <w:pStyle w:val="Compact"/>
                    <w:jc w:val="center"/>
                  </w:pPr>
                  <w:r>
                    <w:t xml:space="preserve">Vegetation</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0.97521</w:t>
                  </w:r>
                </w:p>
              </w:tc>
            </w:tr>
            <w:tr>
              <w:tc>
                <w:tcPr/>
                <w:p>
                  <w:pPr>
                    <w:pStyle w:val="Compact"/>
                    <w:jc w:val="center"/>
                  </w:pPr>
                  <w:r>
                    <w:t xml:space="preserve">1-hr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0.98118</w:t>
                  </w:r>
                </w:p>
              </w:tc>
            </w:tr>
            <w:tr>
              <w:tc>
                <w:tcPr/>
                <w:p>
                  <w:pPr>
                    <w:pStyle w:val="Compact"/>
                    <w:jc w:val="center"/>
                  </w:pPr>
                  <w:r>
                    <w:t xml:space="preserve">Vegetation Difference</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0.98495</w:t>
                  </w:r>
                </w:p>
              </w:tc>
            </w:tr>
            <w:tr>
              <w:tc>
                <w:tcPr/>
                <w:p>
                  <w:pPr>
                    <w:pStyle w:val="Compact"/>
                    <w:jc w:val="center"/>
                  </w:pPr>
                  <w:r>
                    <w:t xml:space="preserve">1,000-hr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0.99993</w:t>
                  </w:r>
                </w:p>
              </w:tc>
            </w:tr>
          </w:tbl>
          <w:bookmarkEnd w:id="10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167"/>
              <w:tblLayout w:type="fixed"/>
              <w:tblLook w:firstRow="1" w:lastRow="0" w:firstColumn="0" w:lastColumn="0" w:noHBand="0" w:noVBand="0" w:val="0020"/>
            </w:tblPr>
            <w:tblGrid>
              <w:gridCol w:w="2640"/>
              <w:gridCol w:w="990"/>
              <w:gridCol w:w="770"/>
              <w:gridCol w:w="1100"/>
              <w:gridCol w:w="1100"/>
            </w:tblGrid>
            <w:tr>
              <w:trPr>
                <w:tblHeader w:val="on"/>
              </w:trPr>
              <w:tc>
                <w:tcPr/>
                <w:p>
                  <w:pPr>
                    <w:pStyle w:val="Compact"/>
                    <w:jc w:val="center"/>
                  </w:pPr>
                  <w:r>
                    <w:t xml:space="preserve">Class</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1-hr</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10-hr</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100-hr</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1,000-hr</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Vegetation</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Vegetation Difference</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10.8</w:t>
                  </w:r>
                </w:p>
              </w:tc>
              <w:tc>
                <w:tcPr/>
                <w:p>
                  <w:pPr>
                    <w:pStyle w:val="Compact"/>
                    <w:jc w:val="center"/>
                  </w:pPr>
                  <w:r>
                    <w:t xml:space="preserve">23.8</w:t>
                  </w:r>
                </w:p>
              </w:tc>
            </w:tr>
          </w:tbl>
          <w:bookmarkEnd w:id="109"/>
          <w:p/>
        </w:tc>
      </w:tr>
    </w:tbl>
    <w:bookmarkEnd w:id="110"/>
    <w:bookmarkStart w:id="115"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4" w:name="fig-fuel-pct-comparison"/>
          <w:p>
            <w:pPr>
              <w:pStyle w:val="Compact"/>
              <w:jc w:val="center"/>
            </w:pPr>
            <w:r>
              <w:drawing>
                <wp:inline>
                  <wp:extent cx="5334000" cy="2667000"/>
                  <wp:effectExtent b="0" l="0" r="0" t="0"/>
                  <wp:docPr descr="" title="" id="112" name="Picture"/>
                  <a:graphic>
                    <a:graphicData uri="http://schemas.openxmlformats.org/drawingml/2006/picture">
                      <pic:pic>
                        <pic:nvPicPr>
                          <pic:cNvPr descr="thesis/results_files/figure-docx/fig-fuel-pct-comparison-1.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4"/>
        </w:tc>
      </w:tr>
    </w:tbl>
    <w:bookmarkEnd w:id="115"/>
    <w:bookmarkEnd w:id="116"/>
    <w:bookmarkEnd w:id="117"/>
    <w:bookmarkStart w:id="129" w:name="discussion"/>
    <w:p>
      <w:pPr>
        <w:pStyle w:val="Heading1"/>
      </w:pPr>
      <w:r>
        <w:t xml:space="preserve">4. Discussion</w:t>
      </w:r>
    </w:p>
    <w:bookmarkStart w:id="121" w:name="regeneration-3"/>
    <w:p>
      <w:pPr>
        <w:pStyle w:val="Heading2"/>
      </w:pPr>
      <w:r>
        <w:t xml:space="preserve">4.1 Regeneration</w:t>
      </w:r>
    </w:p>
    <w:bookmarkStart w:id="118"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 not</w:t>
      </w:r>
      <w:r>
        <w:t xml:space="preserve"> </w:t>
      </w:r>
      <w:r>
        <w:t xml:space="preserve">undergo a long harsh winter</w:t>
      </w:r>
      <w:r>
        <w:t xml:space="preserve"> </w:t>
      </w:r>
      <w:r>
        <w:t xml:space="preserve">(Lin et al., 2002)</w:t>
      </w:r>
      <w:r>
        <w:t xml:space="preserve">.</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w:t>
      </w:r>
    </w:p>
    <w:p>
      <w:pPr>
        <w:pStyle w:val="BodyText"/>
      </w:pPr>
      <w:r>
        <w:t xml:space="preserve">We found redwood growth in the understory—in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(Hunter et al., 1999; O’Hara et al., 2017)</w:t>
      </w:r>
      <w:r>
        <w:t xml:space="preserve">.</w:t>
      </w:r>
    </w:p>
    <w:p>
      <w:pPr>
        <w:pStyle w:val="BodyText"/>
      </w:pPr>
      <w:r>
        <w:t xml:space="preserve">Shade tolerance theory predicts that at a certain overstory density, understory</w:t>
      </w:r>
      <w:r>
        <w:t xml:space="preserve"> </w:t>
      </w:r>
      <w:r>
        <w:t xml:space="preserve">tanoak abundance should exceed that of redwood. The general trends in our</w:t>
      </w:r>
      <w:r>
        <w:t xml:space="preserve"> </w:t>
      </w:r>
      <w:r>
        <w:t xml:space="preserve">results align with this theory, but our standard errors were too high to derive</w:t>
      </w:r>
      <w:r>
        <w:t xml:space="preserve"> </w:t>
      </w:r>
      <w:r>
        <w:t xml:space="preserve">any clear evidence for this threshold.</w:t>
      </w:r>
    </w:p>
    <w:p>
      <w:pPr>
        <w:pStyle w:val="BodyText"/>
      </w:pPr>
      <w:r>
        <w:t xml:space="preserve">Average redwood sprout basal area 10 years after treatment was much more</w:t>
      </w:r>
      <w:r>
        <w:t xml:space="preserve"> </w:t>
      </w:r>
      <w:r>
        <w:t xml:space="preserve">dramatically affected by overstory density than tanoak.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 however, none of the treatment</w:t>
      </w:r>
      <w:r>
        <w:t xml:space="preserve"> </w:t>
      </w:r>
      <w:r>
        <w:t xml:space="preserve">differences for tanoak were statistically supported.</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w:t>
      </w:r>
      <w:r>
        <w:t xml:space="preserve"> </w:t>
      </w:r>
      <w:r>
        <w:t xml:space="preserve">understory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of resprouting root system</w:t>
      </w:r>
      <w:r>
        <w:t xml:space="preserve"> </w:t>
      </w:r>
      <w:r>
        <w:t xml:space="preserve">(Berrill et al., 2018)</w:t>
      </w:r>
      <w:r>
        <w:t xml:space="preserve">.</w:t>
      </w:r>
    </w:p>
    <w:bookmarkEnd w:id="118"/>
    <w:bookmarkStart w:id="119"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 not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(Muma et al., 2022)</w:t>
      </w:r>
      <w:r>
        <w:t xml:space="preserve">. Rapidly developing</w:t>
      </w:r>
      <w:r>
        <w:t xml:space="preserve"> </w:t>
      </w:r>
      <w:r>
        <w:t xml:space="preserve">redwood and tanoak sprouts will likely further compromise Douglas-fir seedlings</w:t>
      </w:r>
      <w:r>
        <w:t xml:space="preserve"> </w:t>
      </w:r>
      <w:r>
        <w:t xml:space="preserve">competitive ability.</w:t>
      </w:r>
    </w:p>
    <w:bookmarkEnd w:id="119"/>
    <w:bookmarkStart w:id="120"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(Muma, 2019)</w:t>
      </w:r>
      <w:r>
        <w:t xml:space="preserve">.</w:t>
      </w:r>
    </w:p>
    <w:bookmarkEnd w:id="120"/>
    <w:bookmarkEnd w:id="121"/>
    <w:bookmarkStart w:id="122" w:name="sprout-height"/>
    <w:p>
      <w:pPr>
        <w:pStyle w:val="Heading2"/>
      </w:pPr>
      <w:r>
        <w:t xml:space="preserve">4.2 Sprout height</w:t>
      </w:r>
    </w:p>
    <w:p>
      <w:pPr>
        <w:pStyle w:val="FirstParagraph"/>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Our measurement of total height</w:t>
      </w:r>
      <w:r>
        <w:t xml:space="preserve"> </w:t>
      </w:r>
      <w:r>
        <w:t xml:space="preserve">of each sprout-clump represents the size of the best/tallest sprout, revealing</w:t>
      </w:r>
      <w:r>
        <w:t xml:space="preserve"> </w:t>
      </w:r>
      <w:r>
        <w:t xml:space="preserve">which treatment produced larger individuals that would eventually be selected for</w:t>
      </w:r>
      <w:r>
        <w:t xml:space="preserve"> </w:t>
      </w:r>
      <w:r>
        <w:t xml:space="preserve">retention.</w:t>
      </w:r>
    </w:p>
    <w:p>
      <w:pPr>
        <w:pStyle w:val="BodyText"/>
      </w:pPr>
      <w:r>
        <w:t xml:space="preserve">We found that for both redwood and tanoak, height increment and overall</w:t>
      </w:r>
      <w:r>
        <w:t xml:space="preserve"> </w:t>
      </w:r>
      <w:r>
        <w:t xml:space="preserve">height at year 10 were greatest in the GS treatment, followed</w:t>
      </w:r>
      <w:r>
        <w:t xml:space="preserve"> </w:t>
      </w:r>
      <w:r>
        <w:t xml:space="preserve">by LD, HA, and HD treatments. This pattern indicates that greater reductions in</w:t>
      </w:r>
      <w:r>
        <w:t xml:space="preserve"> </w:t>
      </w:r>
      <w:r>
        <w:t xml:space="preserve">overstory density and more understory light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2"/>
    <w:bookmarkStart w:id="128" w:name="fuel-loading"/>
    <w:p>
      <w:pPr>
        <w:pStyle w:val="Heading2"/>
      </w:pPr>
      <w:r>
        <w:t xml:space="preserve">4.3 Fuel loading</w:t>
      </w:r>
    </w:p>
    <w:bookmarkStart w:id="126" w:name="pre-pct-1"/>
    <w:p>
      <w:pPr>
        <w:pStyle w:val="Heading3"/>
      </w:pPr>
      <w:r>
        <w:t xml:space="preserve">4.3.1 Pre-PCT</w:t>
      </w:r>
    </w:p>
    <w:p>
      <w:pPr>
        <w:pStyle w:val="FirstParagraph"/>
      </w:pPr>
      <w:r>
        <w:t xml:space="preserve">Prior to PCT, surface fuel loading was comparable to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range of redwood stand structures</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in average bulk density,</w:t>
      </w:r>
      <w:r>
        <w:t xml:space="preserve"> </w:t>
      </w:r>
      <w:r>
        <w:t xml:space="preserve">given the wide variability found in duff and litter</w:t>
      </w:r>
      <w:r>
        <w:t xml:space="preserve"> </w:t>
      </w:r>
      <w:r>
        <w:t xml:space="preserve">depths</w:t>
      </w:r>
      <w:r>
        <w:t xml:space="preserve"> </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 (7 Mg ha</w:t>
      </w:r>
      <w:r>
        <w:rPr>
          <w:vertAlign w:val="superscript"/>
        </w:rPr>
        <w:t xml:space="preserve">-1</w:t>
      </w:r>
      <w:r>
        <w:t xml:space="preserve">,</w:t>
      </w:r>
      <w:r>
        <w:t xml:space="preserve"> </w:t>
      </w:r>
      <w:r>
        <w:t xml:space="preserve">Glebocki (2015)</w:t>
      </w:r>
      <w:r>
        <w:t xml:space="preserve">), and 3 Mg ha</w:t>
      </w:r>
      <w:r>
        <w:rPr>
          <w:vertAlign w:val="superscript"/>
        </w:rPr>
        <w:t xml:space="preserve">-1</w:t>
      </w:r>
      <w:r>
        <w:t xml:space="preserve"> </w:t>
      </w:r>
      <w:r>
        <w:t xml:space="preserve">higher</w:t>
      </w:r>
      <w:r>
        <w:t xml:space="preserve"> </w:t>
      </w:r>
      <w:r>
        <w:t xml:space="preserve">than that found in old growth stands (12 Mg ha</w:t>
      </w:r>
      <w:r>
        <w:rPr>
          <w:vertAlign w:val="superscript"/>
        </w:rPr>
        <w:t xml:space="preserve">-1</w:t>
      </w:r>
      <w:r>
        <w:t xml:space="preserve">,</w:t>
      </w:r>
      <w:r>
        <w:t xml:space="preserve"> </w:t>
      </w:r>
      <w:r>
        <w:t xml:space="preserve">Stuart (1985)</w:t>
      </w:r>
      <w:r>
        <w:t xml:space="preserve">).</w:t>
      </w:r>
    </w:p>
    <w:p>
      <w:pPr>
        <w:pStyle w:val="BodyText"/>
      </w:pPr>
      <w:r>
        <w:t xml:space="preserve">When comparing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w:t>
      </w:r>
      <w:r>
        <w:t xml:space="preserve"> </w:t>
      </w:r>
      <w:r>
        <w:t xml:space="preserve">above, 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However it was about half that found in the very young,</w:t>
      </w:r>
      <w:r>
        <w:t xml:space="preserve"> </w:t>
      </w:r>
      <w:r>
        <w:t xml:space="preserve">mixed stand,</w:t>
      </w:r>
      <w:r>
        <w:t xml:space="preserve"> </w:t>
      </w:r>
      <w:r>
        <w:t xml:space="preserve">possibly due to differing stand structures and species compositions. That young</w:t>
      </w:r>
      <w:r>
        <w:t xml:space="preserve"> </w:t>
      </w:r>
      <w:r>
        <w:t xml:space="preserve">forest was dominated by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was likely the result of residual fuels (mainly cut tanoak) left</w:t>
      </w:r>
      <w:r>
        <w:t xml:space="preserve"> </w:t>
      </w:r>
      <w:r>
        <w:t xml:space="preserve">over from the harvest treatment that initiated our experiment which would have</w:t>
      </w:r>
      <w:r>
        <w:t xml:space="preserve"> </w:t>
      </w:r>
      <w:r>
        <w:t xml:space="preserve">been absent from the other sites referenced here. In the very young, mixed stand</w:t>
      </w:r>
      <w:r>
        <w:t xml:space="preserve"> </w:t>
      </w:r>
      <w:r>
        <w:t xml:space="preserve">for instance, 100-hr fuels jumped to 10 Mg ha</w:t>
      </w:r>
      <w:r>
        <w:rPr>
          <w:vertAlign w:val="superscript"/>
        </w:rPr>
        <w:t xml:space="preserve">-1</w:t>
      </w:r>
      <w:r>
        <w:t xml:space="preserve"> </w:t>
      </w:r>
      <w:r>
        <w:t xml:space="preserve">immediately following a</w:t>
      </w:r>
      <w:r>
        <w:t xml:space="preserve"> </w:t>
      </w:r>
      <w:r>
        <w:t xml:space="preserve">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The similarity in average fuel loading between our Pre-PCT stands and two</w:t>
      </w:r>
      <w:r>
        <w:t xml:space="preserve"> </w:t>
      </w:r>
      <w:r>
        <w:t xml:space="preserve">studies conducted in structurally distinct redwood forests aligns with our</w:t>
      </w:r>
      <w:r>
        <w:t xml:space="preserve"> </w:t>
      </w:r>
      <w:r>
        <w:t xml:space="preserve">finding of few statistically significant differences in fuel loading among</w:t>
      </w:r>
      <w:r>
        <w:t xml:space="preserve"> </w:t>
      </w:r>
      <w:r>
        <w:t xml:space="preserve">treatments. This result is common among other studies and is expected due to the</w:t>
      </w:r>
      <w:r>
        <w:t xml:space="preserve"> </w:t>
      </w:r>
      <w:r>
        <w:t xml:space="preserve">highly variable nature of forest fuels</w:t>
      </w:r>
      <w:r>
        <w:t xml:space="preserve"> </w:t>
      </w:r>
      <w:r>
        <w:t xml:space="preserve">(Collins et al., 2016; Keane et al., 2001, 2012)</w:t>
      </w:r>
      <w:r>
        <w:t xml:space="preserv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Users\walki\AppData\Local\Programs\Quarto\share\formats\docx\caution.png" id="125" name="Picture"/>
                          <pic:cNvPicPr>
                            <a:picLocks noChangeArrowheads="1" noChangeAspect="1"/>
                          </pic:cNvPicPr>
                        </pic:nvPicPr>
                        <pic:blipFill>
                          <a:blip r:embed="rId1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 discuss observed anomalies with HA treatment in general</w:t>
            </w:r>
          </w:p>
          <w:p>
            <w:pPr>
              <w:pStyle w:val="BodyText"/>
            </w:pPr>
            <w:r>
              <w:t xml:space="preserve">In all cases the largest observed differences involved the HA treatment. For</w:t>
            </w:r>
            <w:r>
              <w:t xml:space="preserve"> </w:t>
            </w:r>
            <w:r>
              <w:t xml:space="preserve">instance, for Duff &amp; Litter was lowest in the HA treatment and highest in the HD</w:t>
            </w:r>
            <w:r>
              <w:t xml:space="preserve"> </w:t>
            </w:r>
            <w:r>
              <w:t xml:space="preserve">treatment (p = 0.10) and this trend was paralleled by a similar trend in</w:t>
            </w:r>
            <w:r>
              <w:t xml:space="preserve"> </w:t>
            </w:r>
            <w:r>
              <w:t xml:space="preserve">vegetation fuel loading as well as in tanoak basal area.</w:t>
            </w:r>
          </w:p>
          <w:p>
            <w:pPr>
              <w:pStyle w:val="BodyText"/>
            </w:pPr>
            <w:pPr>
              <w:spacing w:after="16"/>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w:t>
            </w:r>
          </w:p>
          <w:p/>
        </w:tc>
      </w:tr>
    </w:tbl>
    <w:p>
      <w:pPr>
        <w:pStyle w:val="BodyText"/>
      </w:pPr>
      <w:r>
        <w:t xml:space="preserve">In a study across California’s Sierra Nevada mountain range, fine fuel loading</w:t>
      </w:r>
      <w:r>
        <w:t xml:space="preserve"> </w:t>
      </w:r>
      <w:r>
        <w:t xml:space="preserve">(including 1-, 10-, and 100-hr fuels) were found to be correlated with overstory</w:t>
      </w:r>
      <w:r>
        <w:t xml:space="preserve"> </w:t>
      </w:r>
      <w:r>
        <w:t xml:space="preserve">canopy cover and proportion of shade tolerant species and associated these</w:t>
      </w:r>
      <w:r>
        <w:t xml:space="preserve"> </w:t>
      </w:r>
      <w:r>
        <w:t xml:space="preserve">conditions, which represent recent shifts in forest composition resulting from</w:t>
      </w:r>
      <w:r>
        <w:t xml:space="preserve"> </w:t>
      </w:r>
      <w:r>
        <w:t xml:space="preserve">fire suppression, 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w:t>
      </w:r>
      <w:r>
        <w:t xml:space="preserve"> </w:t>
      </w:r>
      <w:r>
        <w:t xml:space="preserve">(Keane, 2008; Pillers &amp; Stuart, 1993)</w:t>
      </w:r>
      <w:r>
        <w:t xml:space="preserve">.</w:t>
      </w:r>
      <w:r>
        <w:t xml:space="preserve"> </w:t>
      </w:r>
      <w:r>
        <w:t xml:space="preserve">Forest floor conditions in the HA treatment may have been somewhat more moist</w:t>
      </w:r>
      <w:r>
        <w:t xml:space="preserve"> </w:t>
      </w:r>
      <w:r>
        <w:t xml:space="preserve">than the more open treatments due to sheltering but warmer than the HD treatment</w:t>
      </w:r>
      <w:r>
        <w:t xml:space="preserve"> </w:t>
      </w:r>
      <w:r>
        <w:t xml:space="preserve">due to greater light infiltration (e.g.,</w:t>
      </w:r>
      <w:r>
        <w:t xml:space="preserve"> </w:t>
      </w:r>
      <w:r>
        <w:t xml:space="preserve">Kane (2021)</w:t>
      </w:r>
      <w:r>
        <w:t xml:space="preserve">). While</w:t>
      </w:r>
      <w:r>
        <w:t xml:space="preserve"> </w:t>
      </w:r>
      <w:r>
        <w:t xml:space="preserve">the 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w:t>
      </w:r>
    </w:p>
    <w:p>
      <w:pPr>
        <w:pStyle w:val="BodyText"/>
      </w:pPr>
      <w:r>
        <w:t xml:space="preserve">For both 1-hr and vegetation fuel loading, the HA treatment was most similar to</w:t>
      </w:r>
      <w:r>
        <w:t xml:space="preserve"> </w:t>
      </w:r>
      <w:r>
        <w:t xml:space="preserve">the HD treatment. In both treatments it appears that a greater density of</w:t>
      </w:r>
      <w:r>
        <w:t xml:space="preserve"> </w:t>
      </w:r>
      <w:r>
        <w:t xml:space="preserve">overstory trees would result in more twigs and less light available for growth</w:t>
      </w:r>
      <w:r>
        <w:t xml:space="preserve"> </w:t>
      </w:r>
      <w:r>
        <w:t xml:space="preserve">of vegetation at the surface. The high density treatments had less tanoak BA and</w:t>
      </w:r>
      <w:r>
        <w:t xml:space="preserve"> </w:t>
      </w:r>
      <w:r>
        <w:t xml:space="preserve">it is likely that tanoak was largely responsible for the vegetative fuel loading</w:t>
      </w:r>
      <w:r>
        <w:t xml:space="preserve"> </w:t>
      </w:r>
      <w:r>
        <w:t xml:space="preserve">differences. Vegetation fuel loading was not recorded by species but redwood and</w:t>
      </w:r>
      <w:r>
        <w:t xml:space="preserve"> </w:t>
      </w:r>
      <w:r>
        <w:t xml:space="preserve">tanoak sprouts comprised the vast majority of vegetation fuels.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greater understory density.</w:t>
      </w:r>
    </w:p>
    <w:p>
      <w:pPr>
        <w:pStyle w:val="BodyText"/>
      </w:pPr>
      <w:r>
        <w:t xml:space="preserve">In this study, live and dead vegetation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bookmarkEnd w:id="126"/>
    <w:bookmarkStart w:id="127"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Vegetative growth following thinning and harvest is an important consideration</w:t>
      </w:r>
      <w:r>
        <w:t xml:space="preserve"> </w:t>
      </w:r>
      <w:r>
        <w:t xml:space="preserve">for fire informed management. In our experiment, greater overstory retention</w:t>
      </w:r>
      <w:r>
        <w:t xml:space="preserve"> </w:t>
      </w:r>
      <w:r>
        <w:t xml:space="preserve">resulted in lower understory size and density. Therefore, 10 years of growth</w:t>
      </w:r>
      <w:r>
        <w:t xml:space="preserve"> </w:t>
      </w:r>
      <w:r>
        <w:t xml:space="preserve">(followed by PCT) led to some increase in average fine woody fuel loading,</w:t>
      </w:r>
      <w:r>
        <w:t xml:space="preserve"> </w:t>
      </w:r>
      <w:r>
        <w:t xml:space="preserve">particularly in the dense understories of the GS and LD treatments. One-hr fuels</w:t>
      </w:r>
      <w:r>
        <w:t xml:space="preserve"> </w:t>
      </w:r>
      <w:r>
        <w:t xml:space="preserve">increased most in the GS and LD treatments but there was also an unexpected</w:t>
      </w:r>
      <w:r>
        <w:t xml:space="preserve"> </w:t>
      </w:r>
      <w:r>
        <w:t xml:space="preserve">increase in 1-hr fuels in the HD treatment compared to the HA treatment which</w:t>
      </w:r>
      <w:r>
        <w:t xml:space="preserve"> </w:t>
      </w:r>
      <w:r>
        <w:t xml:space="preserve">had a negligible increase. Ten-hr fuels increased most in the GS and somewhat in</w:t>
      </w:r>
      <w:r>
        <w:t xml:space="preserve"> </w:t>
      </w:r>
      <w:r>
        <w:t xml:space="preserve">the LD treatment, reflecting the more rapid growth seen in these treatments</w:t>
      </w:r>
      <w:r>
        <w:t xml:space="preserve"> </w:t>
      </w:r>
      <w:r>
        <w:t xml:space="preserve">compared to the others.</w:t>
      </w:r>
    </w:p>
    <w:p>
      <w:pPr>
        <w:pStyle w:val="BodyText"/>
      </w:pP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 model selection process was guided by balancing parsimony, AIC, and</w:t>
      </w:r>
      <w:r>
        <w:t xml:space="preserve"> </w:t>
      </w:r>
      <w:r>
        <w:t xml:space="preserve">the production of well distributed residuals. As predicted fuel load variability</w:t>
      </w:r>
      <w:r>
        <w:t xml:space="preserve"> </w:t>
      </w:r>
      <w:r>
        <w:t xml:space="preserve">increased along with predicted fuel loads following PCT, model selection tended</w:t>
      </w:r>
      <w:r>
        <w:t xml:space="preserve"> </w:t>
      </w:r>
      <w:r>
        <w:t xml:space="preserve">towards more complex models that accounted for this variability–particularly</w:t>
      </w:r>
      <w:r>
        <w:t xml:space="preserve"> </w:t>
      </w:r>
      <w:r>
        <w:t xml:space="preserve">for 1- and 100-hr fuels.</w:t>
      </w:r>
    </w:p>
    <w:p>
      <w:pPr>
        <w:pStyle w:val="BodyText"/>
      </w:pPr>
      <w:r>
        <w:t xml:space="preserve">It can be seen from this analysis, resulting surface fuel conditions are</w:t>
      </w:r>
      <w:r>
        <w:t xml:space="preserve"> </w:t>
      </w:r>
      <w:r>
        <w:t xml:space="preserve">expected to be the result of a complex interaction of understory stand</w:t>
      </w:r>
      <w:r>
        <w:t xml:space="preserve"> </w:t>
      </w:r>
      <w:r>
        <w:t xml:space="preserve">productivity, overstory retention, and decomposition rate. Whether any of the</w:t>
      </w:r>
      <w:r>
        <w:t xml:space="preserve"> </w:t>
      </w:r>
      <w:r>
        <w:t xml:space="preserve">differences we observed result in a significant difference in prescribed or wild</w:t>
      </w:r>
      <w:r>
        <w:t xml:space="preserve"> </w:t>
      </w:r>
      <w:r>
        <w:t xml:space="preserve">fire will need to be tested by those disturbances. It is possible that the</w:t>
      </w:r>
      <w:r>
        <w:t xml:space="preserve"> </w:t>
      </w:r>
      <w:r>
        <w:t xml:space="preserve">elevated 10-hr loads in the GS and to a lesser degree, the LD treatments may</w:t>
      </w:r>
      <w:r>
        <w:t xml:space="preserve"> </w:t>
      </w:r>
      <w:r>
        <w:t xml:space="preserve">represent greater fuel continuity which could support prescribed fire</w:t>
      </w:r>
      <w:r>
        <w:t xml:space="preserve"> </w:t>
      </w:r>
      <w:r>
        <w:t xml:space="preserve">operations. Likewise, the HA treatment’s lower fuel loading across classes could</w:t>
      </w:r>
      <w:r>
        <w:t xml:space="preserve"> </w:t>
      </w:r>
      <w:r>
        <w:t xml:space="preserve">signify patchy fuel distribution.</w:t>
      </w:r>
    </w:p>
    <w:bookmarkEnd w:id="127"/>
    <w:bookmarkEnd w:id="128"/>
    <w:bookmarkEnd w:id="129"/>
    <w:bookmarkStart w:id="130" w:name="limitations-and-future-work"/>
    <w:p>
      <w:pPr>
        <w:pStyle w:val="Heading1"/>
      </w:pPr>
      <w:r>
        <w:t xml:space="preserve">5. Limitations and future work</w:t>
      </w:r>
    </w:p>
    <w:p>
      <w:pPr>
        <w:pStyle w:val="FirstParagraph"/>
      </w:pPr>
      <w:r>
        <w:t xml:space="preserve">Understory basal area comparisons among treatments and with other species within</w:t>
      </w:r>
      <w:r>
        <w:t xml:space="preserve"> </w:t>
      </w:r>
      <w:r>
        <w:t xml:space="preserve">a 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Reducing our uncertainty around redwood and tanoak sprout basal area may require better</w:t>
      </w:r>
      <w:r>
        <w:t xml:space="preserve"> </w:t>
      </w:r>
      <w:r>
        <w:t xml:space="preserve">incorporating the effect of aspect into our model. Also regarding aspect, it</w:t>
      </w:r>
      <w:r>
        <w:t xml:space="preserve"> </w:t>
      </w:r>
      <w:r>
        <w:t xml:space="preserve">seems likely that the effect of site on sprout growth was bi-modal (due to our</w:t>
      </w:r>
      <w:r>
        <w:t xml:space="preserve"> </w:t>
      </w:r>
      <w:r>
        <w:t xml:space="preserve">combination of predominately north- and south-facing site aspects) and thus the</w:t>
      </w:r>
      <w:r>
        <w:t xml:space="preserve"> </w:t>
      </w:r>
      <w:r>
        <w:t xml:space="preserve">regularization imposed by our random effects for sites (assumed to be normally</w:t>
      </w:r>
      <w:r>
        <w:t xml:space="preserve"> </w:t>
      </w:r>
      <w:r>
        <w:t xml:space="preserve">distributed) was likely inappropriate. These same concerns also apply to our</w:t>
      </w:r>
      <w:r>
        <w:t xml:space="preserve"> </w:t>
      </w:r>
      <w:r>
        <w:t xml:space="preserve">modeling of vegetation fuel loading, which was likely also affected by aspect.</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including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 cuts) outside of the plot.</w:t>
      </w:r>
    </w:p>
    <w:p>
      <w:pPr>
        <w:pStyle w:val="BodyText"/>
      </w:pPr>
      <w:r>
        <w:t xml:space="preserve">The simple method we used probably over-estimated vegetation fuel loading,</w:t>
      </w:r>
      <w:r>
        <w:t xml:space="preserve"> </w:t>
      </w:r>
      <w:r>
        <w:t xml:space="preserve">evidenced by the fact that the large fuel loading differences measured for the</w:t>
      </w:r>
      <w:r>
        <w:t xml:space="preserve"> </w:t>
      </w:r>
      <w:r>
        <w:t xml:space="preserve">vegetation class are not reflected in the increase in fine fuels following PCT.</w:t>
      </w:r>
      <w:r>
        <w:t xml:space="preserve"> </w:t>
      </w:r>
      <w:r>
        <w:t xml:space="preserve">Although the contribution of slash foliage is not accounted for, it appears our</w:t>
      </w:r>
      <w:r>
        <w:t xml:space="preserve"> </w:t>
      </w:r>
      <w:r>
        <w:t xml:space="preserve">method may have over predicted vegetation loading by around a factor of three</w:t>
      </w:r>
      <w:r>
        <w:t xml:space="preserve"> </w:t>
      </w:r>
      <w:r>
        <w:t xml:space="preserve">under the assumption that the majority of the difference in vegetation fuels</w:t>
      </w:r>
      <w:r>
        <w:t xml:space="preserve"> </w:t>
      </w:r>
      <w:r>
        <w:t xml:space="preserve">should be captured by the sum of the differences in fine fuels.</w:t>
      </w:r>
    </w:p>
    <w:p>
      <w:pPr>
        <w:pStyle w:val="BodyText"/>
      </w:pP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may have</w:t>
      </w:r>
      <w:r>
        <w:t xml:space="preserve"> </w:t>
      </w:r>
      <w:r>
        <w:t xml:space="preserve">a greater bearing on fire outcomes and warrant further study in these complex,</w:t>
      </w:r>
      <w:r>
        <w:t xml:space="preserve"> </w:t>
      </w:r>
      <w:r>
        <w:t xml:space="preserve">endemic, managed forest systems.</w:t>
      </w:r>
    </w:p>
    <w:bookmarkEnd w:id="130"/>
    <w:bookmarkStart w:id="131" w:name="conclusions-and-management-implications"/>
    <w:p>
      <w:pPr>
        <w:pStyle w:val="Heading1"/>
      </w:pPr>
      <w:r>
        <w:t xml:space="preserve">6. Conclusions and management implications</w:t>
      </w:r>
    </w:p>
    <w:p>
      <w:pPr>
        <w:pStyle w:val="FirstParagraph"/>
      </w:pPr>
      <w:r>
        <w:t xml:space="preserve">This study highlights a fundamental trade-off between multiaged management and</w:t>
      </w:r>
      <w:r>
        <w:t xml:space="preserve"> </w:t>
      </w:r>
      <w:r>
        <w:t xml:space="preserve">fuel hazard reduction. Harvesting treatments that maximized redwood sprout</w:t>
      </w:r>
      <w:r>
        <w:t xml:space="preserve"> </w:t>
      </w:r>
      <w:r>
        <w:t xml:space="preserve">growth also resulted in significantly elevated live fuel loads before</w:t>
      </w:r>
      <w:r>
        <w:t xml:space="preserve"> </w:t>
      </w:r>
      <w:r>
        <w:t xml:space="preserve">pre-commercial thinning. Notably, these responses often represent the same</w:t>
      </w:r>
      <w:r>
        <w:t xml:space="preserve"> </w:t>
      </w:r>
      <w:r>
        <w:t xml:space="preserve">biological phenomenon, with young vegetative growth functioning simultaneously</w:t>
      </w:r>
      <w:r>
        <w:t xml:space="preserve"> </w:t>
      </w:r>
      <w:r>
        <w:t xml:space="preserve">as desired regeneration and as increased surface and ladder fuels, depending on</w:t>
      </w:r>
      <w:r>
        <w:t xml:space="preserve"> </w:t>
      </w:r>
      <w:r>
        <w:t xml:space="preserve">management perspective.</w:t>
      </w:r>
    </w:p>
    <w:p>
      <w:pPr>
        <w:pStyle w:val="BodyText"/>
      </w:pPr>
      <w:r>
        <w:t xml:space="preserve">Consequently, following the PCT, the treatments that produced the most vigorous</w:t>
      </w:r>
      <w:r>
        <w:t xml:space="preserve"> </w:t>
      </w:r>
      <w:r>
        <w:t xml:space="preserve">sprouts also generated higher volumes of fine dead fuels. This shows that</w:t>
      </w:r>
      <w:r>
        <w:t xml:space="preserve"> </w:t>
      </w:r>
      <w:r>
        <w:t xml:space="preserve">successful pyrosilviculture (not unlike traditional silviculture) must balance</w:t>
      </w:r>
      <w:r>
        <w:t xml:space="preserve"> </w:t>
      </w:r>
      <w:r>
        <w:t xml:space="preserve">the goals of new cohort development with fuels management. Maximizing the former</w:t>
      </w:r>
      <w:r>
        <w:t xml:space="preserve"> </w:t>
      </w:r>
      <w:r>
        <w:t xml:space="preserve">also increases the volume of slash fuels generated during tending treatments.</w:t>
      </w:r>
    </w:p>
    <w:p>
      <w:pPr>
        <w:pStyle w:val="BodyText"/>
      </w:pPr>
      <w:r>
        <w:t xml:space="preserve">This study also confirms that redwood and tanoak respond differently to varying</w:t>
      </w:r>
      <w:r>
        <w:t xml:space="preserve"> </w:t>
      </w:r>
      <w:r>
        <w:t xml:space="preserve">levels of canopy openness. Redwood basal area and height growth responded</w:t>
      </w:r>
      <w:r>
        <w:t xml:space="preserve"> </w:t>
      </w:r>
      <w:r>
        <w:t xml:space="preserve">strongly and positively to increasing openness.</w:t>
      </w:r>
    </w:p>
    <w:p>
      <w:pPr>
        <w:pStyle w:val="BodyText"/>
      </w:pPr>
      <w:r>
        <w:t xml:space="preserve">However, the findings suggest that the highest retention treatments approach a</w:t>
      </w:r>
      <w:r>
        <w:t xml:space="preserve"> </w:t>
      </w:r>
      <w:r>
        <w:t xml:space="preserve">critical threshold where tanoak’s competitive ability increases relative to</w:t>
      </w:r>
      <w:r>
        <w:t xml:space="preserve"> </w:t>
      </w:r>
      <w:r>
        <w:t xml:space="preserve">redwood. When basal area is used as the measure of competitive advantage, this</w:t>
      </w:r>
      <w:r>
        <w:t xml:space="preserve"> </w:t>
      </w:r>
      <w:r>
        <w:t xml:space="preserve">threshold occurred in the HD treatments, at overstory retentions of 20% relative</w:t>
      </w:r>
      <w:r>
        <w:t xml:space="preserve"> </w:t>
      </w:r>
      <w:r>
        <w:t xml:space="preserve">density, or 39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A significant outcome of this research lies in its broader implications for</w:t>
      </w:r>
      <w:r>
        <w:t xml:space="preserve"> </w:t>
      </w:r>
      <w:r>
        <w:t xml:space="preserve">forest stewardship. This study recognizes the importance of incorporating</w:t>
      </w:r>
      <w:r>
        <w:t xml:space="preserve"> </w:t>
      </w:r>
      <w:r>
        <w:t xml:space="preserve">Indigenous perspectives—particularly those of the Northern Pomo, the original</w:t>
      </w:r>
      <w:r>
        <w:t xml:space="preserve"> </w:t>
      </w:r>
      <w:r>
        <w:t xml:space="preserve">stewards of these lands—into the responsible management of keystone species such</w:t>
      </w:r>
      <w:r>
        <w:t xml:space="preserve"> </w:t>
      </w:r>
      <w:r>
        <w:t xml:space="preserve">as tanoak. For millennia, Indigenous Californians actively shaped redwood–tanoak</w:t>
      </w:r>
      <w:r>
        <w:t xml:space="preserve"> </w:t>
      </w:r>
      <w:r>
        <w:t xml:space="preserve">ecosystems through intentional and frequent use of fire, sustaining food</w:t>
      </w:r>
      <w:r>
        <w:t xml:space="preserve"> </w:t>
      </w:r>
      <w:r>
        <w:t xml:space="preserve">resources, promoting desired stand conditions, and limiting hazardous fuel</w:t>
      </w:r>
      <w:r>
        <w:t xml:space="preserve"> </w:t>
      </w:r>
      <w:r>
        <w:t xml:space="preserve">accumulation. Tanoak remains culturally central to the Pomo people as a primary</w:t>
      </w:r>
      <w:r>
        <w:t xml:space="preserve"> </w:t>
      </w:r>
      <w:r>
        <w:t xml:space="preserve">food source, emphasizing the need for genuine, collaborative partnerships in</w:t>
      </w:r>
      <w:r>
        <w:t xml:space="preserve"> </w:t>
      </w:r>
      <w:r>
        <w:t xml:space="preserve">future management and research efforts. Integrating Indigenous fire stewardship</w:t>
      </w:r>
      <w:r>
        <w:t xml:space="preserve"> </w:t>
      </w:r>
      <w:r>
        <w:t xml:space="preserve">with contemporary forest management represents not only a pathway toward the</w:t>
      </w:r>
      <w:r>
        <w:t xml:space="preserve"> </w:t>
      </w:r>
      <w:r>
        <w:t xml:space="preserve">practice of pyrosiviculture, but also an essential step toward respectful and</w:t>
      </w:r>
      <w:r>
        <w:t xml:space="preserve"> </w:t>
      </w:r>
      <w:r>
        <w:t xml:space="preserve">sustainable land stewardship.</w:t>
      </w:r>
    </w:p>
    <w:bookmarkEnd w:id="131"/>
    <w:bookmarkStart w:id="318" w:name="references-1"/>
    <w:p>
      <w:pPr>
        <w:pStyle w:val="Heading1"/>
      </w:pPr>
      <w:r>
        <w:t xml:space="preserve">7. References</w:t>
      </w:r>
    </w:p>
    <w:bookmarkStart w:id="317" w:name="refs"/>
    <w:bookmarkStart w:id="133"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2">
        <w:r>
          <w:rPr>
            <w:rStyle w:val="Hyperlink"/>
          </w:rPr>
          <w:t xml:space="preserve">https://doi.org/10.1016/j.foreco.2005.01.034</w:t>
        </w:r>
      </w:hyperlink>
    </w:p>
    <w:bookmarkEnd w:id="133"/>
    <w:bookmarkStart w:id="134"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4"/>
    <w:bookmarkStart w:id="135"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5"/>
    <w:bookmarkStart w:id="137"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6">
        <w:r>
          <w:rPr>
            <w:rStyle w:val="Hyperlink"/>
          </w:rPr>
          <w:t xml:space="preserve">https://doi.org/10.18637/jss.v111.i09</w:t>
        </w:r>
      </w:hyperlink>
    </w:p>
    <w:bookmarkEnd w:id="137"/>
    <w:bookmarkStart w:id="139"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38">
        <w:r>
          <w:rPr>
            <w:rStyle w:val="Hyperlink"/>
          </w:rPr>
          <w:t xml:space="preserve">https://doi.org/10.1016/j.foreco.2008.11.028</w:t>
        </w:r>
      </w:hyperlink>
    </w:p>
    <w:bookmarkEnd w:id="139"/>
    <w:bookmarkStart w:id="140"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0"/>
    <w:bookmarkStart w:id="141"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1"/>
    <w:bookmarkStart w:id="143"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2">
        <w:r>
          <w:rPr>
            <w:rStyle w:val="Hyperlink"/>
          </w:rPr>
          <w:t xml:space="preserve">https://doi.org/10.1186/s13717-019-0181-9</w:t>
        </w:r>
      </w:hyperlink>
    </w:p>
    <w:bookmarkEnd w:id="143"/>
    <w:bookmarkStart w:id="145"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4">
        <w:r>
          <w:rPr>
            <w:rStyle w:val="Hyperlink"/>
          </w:rPr>
          <w:t xml:space="preserve">https://doi.org/10.1139/X06-271</w:t>
        </w:r>
      </w:hyperlink>
    </w:p>
    <w:bookmarkEnd w:id="145"/>
    <w:bookmarkStart w:id="147"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6">
        <w:r>
          <w:rPr>
            <w:rStyle w:val="Hyperlink"/>
          </w:rPr>
          <w:t xml:space="preserve">https://doi.org/10.1093/wjaf/24.1.24</w:t>
        </w:r>
      </w:hyperlink>
    </w:p>
    <w:bookmarkEnd w:id="147"/>
    <w:bookmarkStart w:id="149"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48">
        <w:r>
          <w:rPr>
            <w:rStyle w:val="Hyperlink"/>
          </w:rPr>
          <w:t xml:space="preserve">https://www.fs.usda.gov/treesearch/pubs/55449</w:t>
        </w:r>
      </w:hyperlink>
    </w:p>
    <w:bookmarkEnd w:id="149"/>
    <w:bookmarkStart w:id="151"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0">
        <w:r>
          <w:rPr>
            <w:rStyle w:val="Hyperlink"/>
          </w:rPr>
          <w:t xml:space="preserve">https://doi.org/10.1007/s11056-018-9636-6</w:t>
        </w:r>
      </w:hyperlink>
    </w:p>
    <w:bookmarkEnd w:id="151"/>
    <w:bookmarkStart w:id="153"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2">
        <w:r>
          <w:rPr>
            <w:rStyle w:val="Hyperlink"/>
          </w:rPr>
          <w:t xml:space="preserve">https://doi.org/10.1093/forsci/fxaa031</w:t>
        </w:r>
      </w:hyperlink>
    </w:p>
    <w:bookmarkEnd w:id="153"/>
    <w:bookmarkStart w:id="154"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4"/>
    <w:bookmarkStart w:id="155"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5"/>
    <w:bookmarkStart w:id="157"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6">
        <w:r>
          <w:rPr>
            <w:rStyle w:val="Hyperlink"/>
          </w:rPr>
          <w:t xml:space="preserve">https://doi.org/10.32614/RJ-2017-066</w:t>
        </w:r>
      </w:hyperlink>
    </w:p>
    <w:bookmarkEnd w:id="157"/>
    <w:bookmarkStart w:id="158"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58"/>
    <w:bookmarkStart w:id="160"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59">
        <w:r>
          <w:rPr>
            <w:rStyle w:val="Hyperlink"/>
          </w:rPr>
          <w:t xml:space="preserve">https://doi.org/10.1016/j.foreco.2022.120353</w:t>
        </w:r>
      </w:hyperlink>
    </w:p>
    <w:bookmarkEnd w:id="160"/>
    <w:bookmarkStart w:id="162"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1">
        <w:r>
          <w:rPr>
            <w:rStyle w:val="Hyperlink"/>
          </w:rPr>
          <w:t xml:space="preserve">https://doi.org/10.1016/j.foreco.2016.09.010</w:t>
        </w:r>
      </w:hyperlink>
    </w:p>
    <w:bookmarkEnd w:id="162"/>
    <w:bookmarkStart w:id="164"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3">
        <w:r>
          <w:rPr>
            <w:rStyle w:val="Hyperlink"/>
          </w:rPr>
          <w:t xml:space="preserve">https://doi.org/10.1111/rec.12681</w:t>
        </w:r>
      </w:hyperlink>
    </w:p>
    <w:bookmarkEnd w:id="164"/>
    <w:bookmarkStart w:id="166"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5">
        <w:r>
          <w:rPr>
            <w:rStyle w:val="Hyperlink"/>
          </w:rPr>
          <w:t xml:space="preserve">https://doi.org/10.1139/cjfr-2022-0214</w:t>
        </w:r>
      </w:hyperlink>
    </w:p>
    <w:bookmarkEnd w:id="166"/>
    <w:bookmarkStart w:id="168"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67">
        <w:r>
          <w:rPr>
            <w:rStyle w:val="Hyperlink"/>
          </w:rPr>
          <w:t xml:space="preserve">https://doi.org/10.1007/BF02858075</w:t>
        </w:r>
      </w:hyperlink>
    </w:p>
    <w:bookmarkEnd w:id="168"/>
    <w:bookmarkStart w:id="170"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69">
        <w:r>
          <w:rPr>
            <w:rStyle w:val="Hyperlink"/>
          </w:rPr>
          <w:t xml:space="preserve">https://doi.org/10.1139/x26-066</w:t>
        </w:r>
      </w:hyperlink>
    </w:p>
    <w:bookmarkEnd w:id="170"/>
    <w:bookmarkStart w:id="171"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1"/>
    <w:bookmarkStart w:id="173"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2">
        <w:r>
          <w:rPr>
            <w:rStyle w:val="Hyperlink"/>
          </w:rPr>
          <w:t xml:space="preserve">https://doi.org/10.1139/x93-143</w:t>
        </w:r>
      </w:hyperlink>
    </w:p>
    <w:bookmarkEnd w:id="173"/>
    <w:bookmarkStart w:id="174"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4"/>
    <w:bookmarkStart w:id="175"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5"/>
    <w:bookmarkStart w:id="177"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6">
        <w:r>
          <w:rPr>
            <w:rStyle w:val="Hyperlink"/>
          </w:rPr>
          <w:t xml:space="preserve">https://doi.org/10.1016/j.foreco.2014.06.025</w:t>
        </w:r>
      </w:hyperlink>
    </w:p>
    <w:bookmarkEnd w:id="177"/>
    <w:bookmarkStart w:id="179"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78">
        <w:r>
          <w:rPr>
            <w:rStyle w:val="Hyperlink"/>
          </w:rPr>
          <w:t xml:space="preserve">https://www.fs.usda.gov/database/feis/plants/tree/notden/all.html</w:t>
        </w:r>
      </w:hyperlink>
    </w:p>
    <w:bookmarkEnd w:id="179"/>
    <w:bookmarkStart w:id="181"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181"/>
    <w:bookmarkStart w:id="183"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2">
        <w:r>
          <w:rPr>
            <w:rStyle w:val="Hyperlink"/>
          </w:rPr>
          <w:t xml:space="preserve">https://doi.org/10.1023/A:1006502107495</w:t>
        </w:r>
      </w:hyperlink>
    </w:p>
    <w:bookmarkEnd w:id="183"/>
    <w:bookmarkStart w:id="185"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4">
        <w:r>
          <w:rPr>
            <w:rStyle w:val="Hyperlink"/>
          </w:rPr>
          <w:t xml:space="preserve">https://scholarworks.calstate.edu/concern/theses/ws859j014</w:t>
        </w:r>
      </w:hyperlink>
    </w:p>
    <w:bookmarkEnd w:id="185"/>
    <w:bookmarkStart w:id="187"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6">
        <w:r>
          <w:rPr>
            <w:rStyle w:val="Hyperlink"/>
          </w:rPr>
          <w:t xml:space="preserve">https://doi.org/10.1139/x06-206</w:t>
        </w:r>
      </w:hyperlink>
    </w:p>
    <w:bookmarkEnd w:id="187"/>
    <w:bookmarkStart w:id="188"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88"/>
    <w:bookmarkStart w:id="190"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89">
        <w:r>
          <w:rPr>
            <w:rStyle w:val="Hyperlink"/>
          </w:rPr>
          <w:t xml:space="preserve">https://www.elibrary.ru/item.asp?id=7397149</w:t>
        </w:r>
      </w:hyperlink>
    </w:p>
    <w:bookmarkEnd w:id="190"/>
    <w:bookmarkStart w:id="192"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1">
        <w:r>
          <w:rPr>
            <w:rStyle w:val="Hyperlink"/>
          </w:rPr>
          <w:t xml:space="preserve">https://www.tandfonline.com/doi/abs/10.1080/21580103.2020.1712264</w:t>
        </w:r>
      </w:hyperlink>
    </w:p>
    <w:bookmarkEnd w:id="192"/>
    <w:bookmarkStart w:id="194"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3">
        <w:r>
          <w:rPr>
            <w:rStyle w:val="Hyperlink"/>
          </w:rPr>
          <w:t xml:space="preserve">https://doi.org/10.1093/wjaf/7.4.103</w:t>
        </w:r>
      </w:hyperlink>
    </w:p>
    <w:bookmarkEnd w:id="194"/>
    <w:bookmarkStart w:id="196"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5">
        <w:r>
          <w:rPr>
            <w:rStyle w:val="Hyperlink"/>
          </w:rPr>
          <w:t xml:space="preserve">https://CRAN.R-project.org/package=DHARMa</w:t>
        </w:r>
      </w:hyperlink>
    </w:p>
    <w:bookmarkEnd w:id="196"/>
    <w:bookmarkStart w:id="198"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197">
        <w:r>
          <w:rPr>
            <w:rStyle w:val="Hyperlink"/>
          </w:rPr>
          <w:t xml:space="preserve">https://www.frontiersin.org/articles/10.3389/ffgc.2020.00078</w:t>
        </w:r>
      </w:hyperlink>
    </w:p>
    <w:bookmarkEnd w:id="198"/>
    <w:bookmarkStart w:id="200" w:name="ref-hunterUnderstoryLightGap1999"/>
    <w:p>
      <w:pPr>
        <w:pStyle w:val="Bibliography"/>
      </w:pPr>
      <w:r>
        <w:t xml:space="preserve">Hunter, J. C., Parker, V. T., &amp; Barbour, M. G. (1999). Understory light and gap dynamics in an old-growth forested watershed in coastal</w:t>
      </w:r>
      <w:r>
        <w:t xml:space="preserve"> </w:t>
      </w:r>
      <w:r>
        <w:t xml:space="preserve">California</w:t>
      </w:r>
      <w:r>
        <w:t xml:space="preserve">.</w:t>
      </w:r>
      <w:r>
        <w:t xml:space="preserve"> </w:t>
      </w:r>
      <w:r>
        <w:rPr>
          <w:i/>
          <w:iCs/>
        </w:rPr>
        <w:t xml:space="preserve">Madroño</w:t>
      </w:r>
      <w:r>
        <w:t xml:space="preserve">,</w:t>
      </w:r>
      <w:r>
        <w:t xml:space="preserve"> </w:t>
      </w:r>
      <w:r>
        <w:rPr>
          <w:i/>
          <w:iCs/>
        </w:rPr>
        <w:t xml:space="preserve">46</w:t>
      </w:r>
      <w:r>
        <w:t xml:space="preserve">(1), 1–6.</w:t>
      </w:r>
      <w:r>
        <w:t xml:space="preserve"> </w:t>
      </w:r>
      <w:hyperlink r:id="rId199">
        <w:r>
          <w:rPr>
            <w:rStyle w:val="Hyperlink"/>
          </w:rPr>
          <w:t xml:space="preserve">https://www.jstor.org/stable/41425288</w:t>
        </w:r>
      </w:hyperlink>
    </w:p>
    <w:bookmarkEnd w:id="200"/>
    <w:bookmarkStart w:id="202"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1">
        <w:r>
          <w:rPr>
            <w:rStyle w:val="Hyperlink"/>
          </w:rPr>
          <w:t xml:space="preserve">https://academic.oup.com/jof/article-abstract/83/8/494/4647048</w:t>
        </w:r>
      </w:hyperlink>
    </w:p>
    <w:bookmarkEnd w:id="202"/>
    <w:bookmarkStart w:id="204"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3">
        <w:r>
          <w:rPr>
            <w:rStyle w:val="Hyperlink"/>
          </w:rPr>
          <w:t xml:space="preserve">https://books.google.com?id=x3tw07l1IQQC</w:t>
        </w:r>
      </w:hyperlink>
    </w:p>
    <w:bookmarkEnd w:id="204"/>
    <w:bookmarkStart w:id="206" w:name="ref-kaneStandConditionsAlter2021"/>
    <w:p>
      <w:pPr>
        <w:pStyle w:val="Bibliography"/>
      </w:pPr>
      <w:r>
        <w:t xml:space="preserve">Kane, J. M. (2021). Stand conditions alter seasonal microclimate and dead fuel moisture in a</w:t>
      </w:r>
      <w:r>
        <w:t xml:space="preserve"> </w:t>
      </w:r>
      <w:r>
        <w:t xml:space="preserve">Northwestern California</w:t>
      </w:r>
      <w:r>
        <w:t xml:space="preserve"> </w:t>
      </w:r>
      <w:r>
        <w:t xml:space="preserve">oak woodland.</w:t>
      </w:r>
      <w:r>
        <w:t xml:space="preserve"> </w:t>
      </w:r>
      <w:r>
        <w:rPr>
          <w:i/>
          <w:iCs/>
        </w:rPr>
        <w:t xml:space="preserve">Agricultural and Forest Meteorology</w:t>
      </w:r>
      <w:r>
        <w:t xml:space="preserve">,</w:t>
      </w:r>
      <w:r>
        <w:t xml:space="preserve"> </w:t>
      </w:r>
      <w:r>
        <w:rPr>
          <w:i/>
          <w:iCs/>
        </w:rPr>
        <w:t xml:space="preserve">308–309</w:t>
      </w:r>
      <w:r>
        <w:t xml:space="preserve">, 108602.</w:t>
      </w:r>
      <w:r>
        <w:t xml:space="preserve"> </w:t>
      </w:r>
      <w:hyperlink r:id="rId205">
        <w:r>
          <w:rPr>
            <w:rStyle w:val="Hyperlink"/>
          </w:rPr>
          <w:t xml:space="preserve">https://doi.org/10.1016/j.agrformet.2021.108602</w:t>
        </w:r>
      </w:hyperlink>
    </w:p>
    <w:bookmarkEnd w:id="206"/>
    <w:bookmarkStart w:id="208"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07">
        <w:r>
          <w:rPr>
            <w:rStyle w:val="Hyperlink"/>
          </w:rPr>
          <w:t xml:space="preserve">https://doi.org/10.1139/X08-003</w:t>
        </w:r>
      </w:hyperlink>
    </w:p>
    <w:bookmarkEnd w:id="208"/>
    <w:bookmarkStart w:id="210" w:name="ref-keaneMappingWildlandFuels2001"/>
    <w:p>
      <w:pPr>
        <w:pStyle w:val="Bibliography"/>
      </w:pPr>
      <w:r>
        <w:t xml:space="preserve">Keane, R. E., Burgan, R., &amp; Wagtendonk, J. van. (2001). Mapping wildland fuels for fire management across multiple scales:</w:t>
      </w:r>
      <w:r>
        <w:t xml:space="preserve"> </w:t>
      </w:r>
      <w:r>
        <w:t xml:space="preserve">Integrating</w:t>
      </w:r>
      <w:r>
        <w:t xml:space="preserve"> </w:t>
      </w:r>
      <w:r>
        <w:t xml:space="preserve">remote sensing,</w:t>
      </w:r>
      <w:r>
        <w:t xml:space="preserve"> </w:t>
      </w:r>
      <w:r>
        <w:t xml:space="preserve">GIS</w:t>
      </w:r>
      <w:r>
        <w:t xml:space="preserve">, and biophysical modeling.</w:t>
      </w:r>
      <w:r>
        <w:t xml:space="preserve"> </w:t>
      </w:r>
      <w:r>
        <w:rPr>
          <w:i/>
          <w:iCs/>
        </w:rPr>
        <w:t xml:space="preserve">International Journal of Wildland Fire</w:t>
      </w:r>
      <w:r>
        <w:t xml:space="preserve">,</w:t>
      </w:r>
      <w:r>
        <w:t xml:space="preserve"> </w:t>
      </w:r>
      <w:r>
        <w:rPr>
          <w:i/>
          <w:iCs/>
        </w:rPr>
        <w:t xml:space="preserve">10</w:t>
      </w:r>
      <w:r>
        <w:t xml:space="preserve">(4), 301–319.</w:t>
      </w:r>
      <w:r>
        <w:t xml:space="preserve"> </w:t>
      </w:r>
      <w:hyperlink r:id="rId209">
        <w:r>
          <w:rPr>
            <w:rStyle w:val="Hyperlink"/>
          </w:rPr>
          <w:t xml:space="preserve">https://doi.org/10.1071/wf01028</w:t>
        </w:r>
      </w:hyperlink>
    </w:p>
    <w:bookmarkEnd w:id="210"/>
    <w:bookmarkStart w:id="212" w:name="ref-keaneSpatialScalingWildland2012"/>
    <w:p>
      <w:pPr>
        <w:pStyle w:val="Bibliography"/>
      </w:pPr>
      <w:r>
        <w:t xml:space="preserve">Keane, R. E., Gray, K., Bacciu, V., &amp; Leirfallom, S. (2012). Spatial scaling of wildland fuels for six forest and rangeland ecosystems of the northern</w:t>
      </w:r>
      <w:r>
        <w:t xml:space="preserve"> </w:t>
      </w:r>
      <w:r>
        <w:t xml:space="preserve">Rocky Mountains</w:t>
      </w:r>
      <w:r>
        <w:t xml:space="preserve">,</w:t>
      </w:r>
      <w:r>
        <w:t xml:space="preserve"> </w:t>
      </w:r>
      <w:r>
        <w:t xml:space="preserve">USA</w:t>
      </w:r>
      <w:r>
        <w:t xml:space="preserve">.</w:t>
      </w:r>
      <w:r>
        <w:t xml:space="preserve"> </w:t>
      </w:r>
      <w:r>
        <w:rPr>
          <w:i/>
          <w:iCs/>
        </w:rPr>
        <w:t xml:space="preserve">Landscape Ecology</w:t>
      </w:r>
      <w:r>
        <w:t xml:space="preserve">,</w:t>
      </w:r>
      <w:r>
        <w:t xml:space="preserve"> </w:t>
      </w:r>
      <w:r>
        <w:rPr>
          <w:i/>
          <w:iCs/>
        </w:rPr>
        <w:t xml:space="preserve">27</w:t>
      </w:r>
      <w:r>
        <w:t xml:space="preserve">(8), 1213–1234.</w:t>
      </w:r>
      <w:r>
        <w:t xml:space="preserve"> </w:t>
      </w:r>
      <w:hyperlink r:id="rId211">
        <w:r>
          <w:rPr>
            <w:rStyle w:val="Hyperlink"/>
          </w:rPr>
          <w:t xml:space="preserve">https://doi.org/10.1007/s10980-012-9773-9</w:t>
        </w:r>
      </w:hyperlink>
    </w:p>
    <w:bookmarkEnd w:id="212"/>
    <w:bookmarkStart w:id="213"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13"/>
    <w:bookmarkStart w:id="215"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14">
        <w:r>
          <w:rPr>
            <w:rStyle w:val="Hyperlink"/>
          </w:rPr>
          <w:t xml:space="preserve">https://doi.org/10.1007/s11056-015-9470-z</w:t>
        </w:r>
      </w:hyperlink>
    </w:p>
    <w:bookmarkEnd w:id="215"/>
    <w:bookmarkStart w:id="217"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6">
        <w:r>
          <w:rPr>
            <w:rStyle w:val="Hyperlink"/>
          </w:rPr>
          <w:t xml:space="preserve">https://doi.org/10.1016/j.foreco.2014.01.045</w:t>
        </w:r>
      </w:hyperlink>
    </w:p>
    <w:bookmarkEnd w:id="217"/>
    <w:bookmarkStart w:id="219"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18">
        <w:r>
          <w:rPr>
            <w:rStyle w:val="Hyperlink"/>
          </w:rPr>
          <w:t xml:space="preserve">https://doi.org/10.1093/jof/38.9.729</w:t>
        </w:r>
      </w:hyperlink>
    </w:p>
    <w:bookmarkEnd w:id="219"/>
    <w:bookmarkStart w:id="221"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20">
        <w:r>
          <w:rPr>
            <w:rStyle w:val="Hyperlink"/>
          </w:rPr>
          <w:t xml:space="preserve">https://doi.org/10.5849/FS-2016-029R2</w:t>
        </w:r>
      </w:hyperlink>
    </w:p>
    <w:bookmarkEnd w:id="221"/>
    <w:bookmarkStart w:id="223"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22">
        <w:r>
          <w:rPr>
            <w:rStyle w:val="Hyperlink"/>
          </w:rPr>
          <w:t xml:space="preserve">https://doi.org/10.1016/j.foreco.2010.02.022</w:t>
        </w:r>
      </w:hyperlink>
    </w:p>
    <w:bookmarkEnd w:id="223"/>
    <w:bookmarkStart w:id="225"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24">
        <w:r>
          <w:rPr>
            <w:rStyle w:val="Hyperlink"/>
          </w:rPr>
          <w:t xml:space="preserve">https://CRAN.R-project.org/package=emmeans</w:t>
        </w:r>
      </w:hyperlink>
    </w:p>
    <w:bookmarkEnd w:id="225"/>
    <w:bookmarkStart w:id="227"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6">
        <w:r>
          <w:rPr>
            <w:rStyle w:val="Hyperlink"/>
          </w:rPr>
          <w:t xml:space="preserve">https://doi.org/10.1007/s00442-002-0986-5</w:t>
        </w:r>
      </w:hyperlink>
    </w:p>
    <w:bookmarkEnd w:id="227"/>
    <w:bookmarkStart w:id="229"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8">
        <w:r>
          <w:rPr>
            <w:rStyle w:val="Hyperlink"/>
          </w:rPr>
          <w:t xml:space="preserve">https://www.google.com/books/edition/Sprout_Regeneration_of_Young_growth_Redw/48fMLtW9rRgC</w:t>
        </w:r>
      </w:hyperlink>
    </w:p>
    <w:bookmarkEnd w:id="229"/>
    <w:bookmarkStart w:id="231"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30">
        <w:r>
          <w:rPr>
            <w:rStyle w:val="Hyperlink"/>
          </w:rPr>
          <w:t xml:space="preserve">https://catalog.hathitrust.org/Record/010837951</w:t>
        </w:r>
      </w:hyperlink>
    </w:p>
    <w:bookmarkEnd w:id="231"/>
    <w:bookmarkStart w:id="233"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32">
        <w:r>
          <w:rPr>
            <w:rStyle w:val="Hyperlink"/>
          </w:rPr>
          <w:t xml:space="preserve">https://doi.org/10.1016/j.foreco.2009.07.008</w:t>
        </w:r>
      </w:hyperlink>
    </w:p>
    <w:bookmarkEnd w:id="233"/>
    <w:bookmarkStart w:id="234"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234"/>
    <w:bookmarkStart w:id="236"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5">
        <w:r>
          <w:rPr>
            <w:rStyle w:val="Hyperlink"/>
          </w:rPr>
          <w:t xml:space="preserve">https://doi.org/10.2737/RMRS-RP-103</w:t>
        </w:r>
      </w:hyperlink>
    </w:p>
    <w:bookmarkEnd w:id="236"/>
    <w:bookmarkStart w:id="238"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37">
        <w:r>
          <w:rPr>
            <w:rStyle w:val="Hyperlink"/>
          </w:rPr>
          <w:t xml:space="preserve">https://ir.library.oregonstate.edu/downloads/70795d72s</w:t>
        </w:r>
      </w:hyperlink>
    </w:p>
    <w:bookmarkEnd w:id="238"/>
    <w:bookmarkStart w:id="239"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39"/>
    <w:bookmarkStart w:id="240"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40"/>
    <w:bookmarkStart w:id="242"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41">
        <w:r>
          <w:rPr>
            <w:rStyle w:val="Hyperlink"/>
          </w:rPr>
          <w:t xml:space="preserve">https://doi.org/10.5558/tfc78397-3</w:t>
        </w:r>
      </w:hyperlink>
    </w:p>
    <w:bookmarkEnd w:id="242"/>
    <w:bookmarkStart w:id="244" w:name="ref-mumaConvertingCoastRedwood2019"/>
    <w:p>
      <w:pPr>
        <w:pStyle w:val="Bibliography"/>
      </w:pPr>
      <w:r>
        <w:t xml:space="preserve">Muma, R.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43">
        <w:r>
          <w:rPr>
            <w:rStyle w:val="Hyperlink"/>
          </w:rPr>
          <w:t xml:space="preserve">https://digitalcommons.humboldt.edu/etd/269</w:t>
        </w:r>
      </w:hyperlink>
    </w:p>
    <w:bookmarkEnd w:id="244"/>
    <w:bookmarkStart w:id="246"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5">
        <w:r>
          <w:rPr>
            <w:rStyle w:val="Hyperlink"/>
          </w:rPr>
          <w:t xml:space="preserve">https://doi.org/10.1016/j.foreco.2022.120236</w:t>
        </w:r>
      </w:hyperlink>
    </w:p>
    <w:bookmarkEnd w:id="246"/>
    <w:bookmarkStart w:id="248"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7">
        <w:r>
          <w:rPr>
            <w:rStyle w:val="Hyperlink"/>
          </w:rPr>
          <w:t xml:space="preserve">https://www.fs.usda.gov/research/treesearch/37978</w:t>
        </w:r>
      </w:hyperlink>
    </w:p>
    <w:bookmarkEnd w:id="248"/>
    <w:bookmarkStart w:id="250"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49">
        <w:r>
          <w:rPr>
            <w:rStyle w:val="Hyperlink"/>
          </w:rPr>
          <w:t xml:space="preserve">https://doi.org/10.1016/j.foreco.2022.120136</w:t>
        </w:r>
      </w:hyperlink>
    </w:p>
    <w:bookmarkEnd w:id="250"/>
    <w:bookmarkStart w:id="252"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51">
        <w:r>
          <w:rPr>
            <w:rStyle w:val="Hyperlink"/>
          </w:rPr>
          <w:t xml:space="preserve">https://doi.org/10.1002/ece3.3737</w:t>
        </w:r>
      </w:hyperlink>
    </w:p>
    <w:bookmarkEnd w:id="252"/>
    <w:bookmarkStart w:id="253"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53"/>
    <w:bookmarkStart w:id="255"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54">
        <w:r>
          <w:rPr>
            <w:rStyle w:val="Hyperlink"/>
          </w:rPr>
          <w:t xml:space="preserve">https://doi.org/10.1093/jofore/fvab026</w:t>
        </w:r>
      </w:hyperlink>
    </w:p>
    <w:bookmarkEnd w:id="255"/>
    <w:bookmarkStart w:id="257"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6">
        <w:r>
          <w:rPr>
            <w:rStyle w:val="Hyperlink"/>
          </w:rPr>
          <w:t xml:space="preserve">https://doi.org/10.1093/jof/96.7.4a</w:t>
        </w:r>
      </w:hyperlink>
    </w:p>
    <w:bookmarkEnd w:id="257"/>
    <w:bookmarkStart w:id="259"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58">
        <w:r>
          <w:rPr>
            <w:rStyle w:val="Hyperlink"/>
          </w:rPr>
          <w:t xml:space="preserve">https://doi.org/10.1016/S0378-1127(00)00698-8</w:t>
        </w:r>
      </w:hyperlink>
    </w:p>
    <w:bookmarkEnd w:id="259"/>
    <w:bookmarkStart w:id="261"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60">
        <w:r>
          <w:rPr>
            <w:rStyle w:val="Hyperlink"/>
          </w:rPr>
          <w:t xml:space="preserve">https://doi.org/10.1093/forestry/75.4.339</w:t>
        </w:r>
      </w:hyperlink>
    </w:p>
    <w:bookmarkEnd w:id="261"/>
    <w:bookmarkStart w:id="263"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62">
        <w:r>
          <w:rPr>
            <w:rStyle w:val="Hyperlink"/>
          </w:rPr>
          <w:t xml:space="preserve">https://doi.org/10.1007/s10310-009-0166-0</w:t>
        </w:r>
      </w:hyperlink>
    </w:p>
    <w:bookmarkEnd w:id="263"/>
    <w:bookmarkStart w:id="265"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64">
        <w:r>
          <w:rPr>
            <w:rStyle w:val="Hyperlink"/>
          </w:rPr>
          <w:t xml:space="preserve">https://doi.org/10.3390/f8050144</w:t>
        </w:r>
      </w:hyperlink>
    </w:p>
    <w:bookmarkEnd w:id="265"/>
    <w:bookmarkStart w:id="267"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6">
        <w:r>
          <w:rPr>
            <w:rStyle w:val="Hyperlink"/>
          </w:rPr>
          <w:t xml:space="preserve">https://doi.org/10.1016/j.foreco.2007.03.062</w:t>
        </w:r>
      </w:hyperlink>
    </w:p>
    <w:bookmarkEnd w:id="267"/>
    <w:bookmarkStart w:id="269"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68">
        <w:r>
          <w:rPr>
            <w:rStyle w:val="Hyperlink"/>
          </w:rPr>
          <w:t xml:space="preserve">https://doi.org/10.1016/j.foreco.2021.119361</w:t>
        </w:r>
      </w:hyperlink>
    </w:p>
    <w:bookmarkEnd w:id="269"/>
    <w:bookmarkStart w:id="270"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70"/>
    <w:bookmarkStart w:id="272"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71">
        <w:r>
          <w:rPr>
            <w:rStyle w:val="Hyperlink"/>
          </w:rPr>
          <w:t xml:space="preserve">https://doi.org/10.1029/2020GL089858</w:t>
        </w:r>
      </w:hyperlink>
    </w:p>
    <w:bookmarkEnd w:id="272"/>
    <w:bookmarkStart w:id="274" w:name="Xa7718103be4338156d88a8097714e0b7e07ff02"/>
    <w:p>
      <w:pPr>
        <w:pStyle w:val="Bibliography"/>
      </w:pPr>
      <w:r>
        <w:t xml:space="preserve">Pillers, M. D., &amp; Stuart, J. D. (1993). Leaf-litter accretion and decomposition in interior and coastal old-growth redwood stands.</w:t>
      </w:r>
      <w:r>
        <w:t xml:space="preserve"> </w:t>
      </w:r>
      <w:r>
        <w:rPr>
          <w:i/>
          <w:iCs/>
        </w:rPr>
        <w:t xml:space="preserve">Canadian Journal of Forest Research</w:t>
      </w:r>
      <w:r>
        <w:t xml:space="preserve">,</w:t>
      </w:r>
      <w:r>
        <w:t xml:space="preserve"> </w:t>
      </w:r>
      <w:r>
        <w:rPr>
          <w:i/>
          <w:iCs/>
        </w:rPr>
        <w:t xml:space="preserve">23</w:t>
      </w:r>
      <w:r>
        <w:t xml:space="preserve">(3), 552–557.</w:t>
      </w:r>
      <w:r>
        <w:t xml:space="preserve"> </w:t>
      </w:r>
      <w:hyperlink r:id="rId273">
        <w:r>
          <w:rPr>
            <w:rStyle w:val="Hyperlink"/>
          </w:rPr>
          <w:t xml:space="preserve">https://doi.org/10.1139/x93-073</w:t>
        </w:r>
      </w:hyperlink>
    </w:p>
    <w:bookmarkEnd w:id="274"/>
    <w:bookmarkStart w:id="276"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75">
        <w:r>
          <w:rPr>
            <w:rStyle w:val="Hyperlink"/>
          </w:rPr>
          <w:t xml:space="preserve">https://doi.org/10.1093/forestscience/16.3.339</w:t>
        </w:r>
      </w:hyperlink>
    </w:p>
    <w:bookmarkEnd w:id="276"/>
    <w:bookmarkStart w:id="278"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77">
        <w:r>
          <w:rPr>
            <w:rStyle w:val="Hyperlink"/>
          </w:rPr>
          <w:t xml:space="preserve">https://www.fs.usda.gov/treesearch/pubs/60134</w:t>
        </w:r>
      </w:hyperlink>
    </w:p>
    <w:bookmarkEnd w:id="278"/>
    <w:bookmarkStart w:id="280"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79">
        <w:r>
          <w:rPr>
            <w:rStyle w:val="Hyperlink"/>
          </w:rPr>
          <w:t xml:space="preserve">https://doi.org/10.2737/PSW-GTR-256</w:t>
        </w:r>
      </w:hyperlink>
    </w:p>
    <w:bookmarkEnd w:id="280"/>
    <w:bookmarkStart w:id="282"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81">
        <w:r>
          <w:rPr>
            <w:rStyle w:val="Hyperlink"/>
          </w:rPr>
          <w:t xml:space="preserve">https://doi.org/10.3390/su152316409</w:t>
        </w:r>
      </w:hyperlink>
    </w:p>
    <w:bookmarkEnd w:id="282"/>
    <w:bookmarkStart w:id="284"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83">
        <w:r>
          <w:rPr>
            <w:rStyle w:val="Hyperlink"/>
          </w:rPr>
          <w:t xml:space="preserve">https://doi.org/10.1016/j.foreco.2013.04.015</w:t>
        </w:r>
      </w:hyperlink>
    </w:p>
    <w:bookmarkEnd w:id="284"/>
    <w:bookmarkStart w:id="285"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85"/>
    <w:bookmarkStart w:id="287"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86">
        <w:r>
          <w:rPr>
            <w:rStyle w:val="Hyperlink"/>
          </w:rPr>
          <w:t xml:space="preserve">https://doi.org/10.1093/forestry/75.4.329</w:t>
        </w:r>
      </w:hyperlink>
    </w:p>
    <w:bookmarkEnd w:id="287"/>
    <w:bookmarkStart w:id="288"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88"/>
    <w:bookmarkStart w:id="290"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89">
        <w:r>
          <w:rPr>
            <w:rStyle w:val="Hyperlink"/>
          </w:rPr>
          <w:t xml:space="preserve">https://doi.org/10.1016/j.foreco.2012.08.030</w:t>
        </w:r>
      </w:hyperlink>
    </w:p>
    <w:bookmarkEnd w:id="290"/>
    <w:bookmarkStart w:id="292"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91">
        <w:r>
          <w:rPr>
            <w:rStyle w:val="Hyperlink"/>
          </w:rPr>
          <w:t xml:space="preserve">https://esajournals.onlinelibrary.wiley.com/doi/full/10.1890/07-1755.1</w:t>
        </w:r>
      </w:hyperlink>
    </w:p>
    <w:bookmarkEnd w:id="292"/>
    <w:bookmarkStart w:id="293"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93"/>
    <w:bookmarkStart w:id="295"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94">
        <w:r>
          <w:rPr>
            <w:rStyle w:val="Hyperlink"/>
          </w:rPr>
          <w:t xml:space="preserve">https://doi.org/10.1016/j.foreco.2016.05.018</w:t>
        </w:r>
      </w:hyperlink>
    </w:p>
    <w:bookmarkEnd w:id="295"/>
    <w:bookmarkStart w:id="296"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96"/>
    <w:bookmarkStart w:id="298"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297">
        <w:r>
          <w:rPr>
            <w:rStyle w:val="Hyperlink"/>
          </w:rPr>
          <w:t xml:space="preserve">https://doi.org/10.1007/s10530-017-1443-z</w:t>
        </w:r>
      </w:hyperlink>
    </w:p>
    <w:bookmarkEnd w:id="298"/>
    <w:bookmarkStart w:id="300"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299">
        <w:r>
          <w:rPr>
            <w:rStyle w:val="Hyperlink"/>
          </w:rPr>
          <w:t xml:space="preserve">https://doi.org/10.1016/j.foreco.2022.120602</w:t>
        </w:r>
      </w:hyperlink>
    </w:p>
    <w:bookmarkEnd w:id="300"/>
    <w:bookmarkStart w:id="302"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301">
        <w:r>
          <w:rPr>
            <w:rStyle w:val="Hyperlink"/>
          </w:rPr>
          <w:t xml:space="preserve">https://doi.org/10.1016/j.foreco.2008.01.025</w:t>
        </w:r>
      </w:hyperlink>
    </w:p>
    <w:bookmarkEnd w:id="302"/>
    <w:bookmarkStart w:id="304"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303">
        <w:r>
          <w:rPr>
            <w:rStyle w:val="Hyperlink"/>
          </w:rPr>
          <w:t xml:space="preserve">https://www.fs.usda.gov/research/treesearch/41828</w:t>
        </w:r>
      </w:hyperlink>
    </w:p>
    <w:bookmarkEnd w:id="304"/>
    <w:bookmarkStart w:id="306"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305">
        <w:r>
          <w:rPr>
            <w:rStyle w:val="Hyperlink"/>
          </w:rPr>
          <w:t xml:space="preserve">http://hilgardia.ucanr.edu/Abstract/?a=hilg.v54n08p017</w:t>
        </w:r>
      </w:hyperlink>
    </w:p>
    <w:bookmarkEnd w:id="306"/>
    <w:bookmarkStart w:id="308"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07">
        <w:r>
          <w:rPr>
            <w:rStyle w:val="Hyperlink"/>
          </w:rPr>
          <w:t xml:space="preserve">https://doi.org/10.1098/rstb.2015.0178</w:t>
        </w:r>
      </w:hyperlink>
    </w:p>
    <w:bookmarkEnd w:id="308"/>
    <w:bookmarkStart w:id="309"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09"/>
    <w:bookmarkStart w:id="311"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10">
        <w:r>
          <w:rPr>
            <w:rStyle w:val="Hyperlink"/>
          </w:rPr>
          <w:t xml:space="preserve">https://doi.org/10.3390/f16061000</w:t>
        </w:r>
      </w:hyperlink>
    </w:p>
    <w:bookmarkEnd w:id="311"/>
    <w:bookmarkStart w:id="313"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12">
        <w:r>
          <w:rPr>
            <w:rStyle w:val="Hyperlink"/>
          </w:rPr>
          <w:t xml:space="preserve">https://doi.org/10.1093/wjaf/12.1.21</w:t>
        </w:r>
      </w:hyperlink>
    </w:p>
    <w:bookmarkEnd w:id="313"/>
    <w:bookmarkStart w:id="315"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14">
        <w:r>
          <w:rPr>
            <w:rStyle w:val="Hyperlink"/>
          </w:rPr>
          <w:t xml:space="preserve">https://doi.org/10.1007/978-3-319-51727-8_13-1</w:t>
        </w:r>
      </w:hyperlink>
    </w:p>
    <w:bookmarkEnd w:id="315"/>
    <w:bookmarkStart w:id="316"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16"/>
    <w:bookmarkEnd w:id="317"/>
    <w:bookmarkEnd w:id="31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hyperlink" Id="rId305" Target="http://hilgardia.ucanr.edu/Abstract/?a=hilg.v54n08p017" TargetMode="External" /><Relationship Type="http://schemas.openxmlformats.org/officeDocument/2006/relationships/hyperlink" Id="rId195" Target="https://CRAN.R-project.org/package=DHARMa" TargetMode="External" /><Relationship Type="http://schemas.openxmlformats.org/officeDocument/2006/relationships/hyperlink" Id="rId224" Target="https://CRAN.R-project.org/package=emmeans" TargetMode="External" /><Relationship Type="http://schemas.openxmlformats.org/officeDocument/2006/relationships/hyperlink" Id="rId201" Target="https://academic.oup.com/jof/article-abstract/83/8/494/4647048" TargetMode="External" /><Relationship Type="http://schemas.openxmlformats.org/officeDocument/2006/relationships/hyperlink" Id="rId203" Target="https://books.google.com?id=x3tw07l1IQQC" TargetMode="External" /><Relationship Type="http://schemas.openxmlformats.org/officeDocument/2006/relationships/hyperlink" Id="rId230" Target="https://catalog.hathitrust.org/Record/010837951" TargetMode="External" /><Relationship Type="http://schemas.openxmlformats.org/officeDocument/2006/relationships/hyperlink" Id="rId243" Target="https://digitalcommons.humboldt.edu/etd/269" TargetMode="External" /><Relationship Type="http://schemas.openxmlformats.org/officeDocument/2006/relationships/hyperlink" Id="rId251" Target="https://doi.org/10.1002/ece3.3737" TargetMode="External" /><Relationship Type="http://schemas.openxmlformats.org/officeDocument/2006/relationships/hyperlink" Id="rId314" Target="https://doi.org/10.1007/978-3-319-51727-8_13-1" TargetMode="External" /><Relationship Type="http://schemas.openxmlformats.org/officeDocument/2006/relationships/hyperlink" Id="rId167" Target="https://doi.org/10.1007/BF02858075" TargetMode="External" /><Relationship Type="http://schemas.openxmlformats.org/officeDocument/2006/relationships/hyperlink" Id="rId226" Target="https://doi.org/10.1007/s00442-002-0986-5" TargetMode="External" /><Relationship Type="http://schemas.openxmlformats.org/officeDocument/2006/relationships/hyperlink" Id="rId262" Target="https://doi.org/10.1007/s10310-009-0166-0" TargetMode="External" /><Relationship Type="http://schemas.openxmlformats.org/officeDocument/2006/relationships/hyperlink" Id="rId297" Target="https://doi.org/10.1007/s10530-017-1443-z" TargetMode="External" /><Relationship Type="http://schemas.openxmlformats.org/officeDocument/2006/relationships/hyperlink" Id="rId211" Target="https://doi.org/10.1007/s10980-012-9773-9" TargetMode="External" /><Relationship Type="http://schemas.openxmlformats.org/officeDocument/2006/relationships/hyperlink" Id="rId214" Target="https://doi.org/10.1007/s11056-015-9470-z" TargetMode="External" /><Relationship Type="http://schemas.openxmlformats.org/officeDocument/2006/relationships/hyperlink" Id="rId150" Target="https://doi.org/10.1007/s11056-018-9636-6" TargetMode="External" /><Relationship Type="http://schemas.openxmlformats.org/officeDocument/2006/relationships/hyperlink" Id="rId258" Target="https://doi.org/10.1016/S0378-1127(00)00698-8" TargetMode="External" /><Relationship Type="http://schemas.openxmlformats.org/officeDocument/2006/relationships/hyperlink" Id="rId205" Target="https://doi.org/10.1016/j.agrformet.2021.108602" TargetMode="External" /><Relationship Type="http://schemas.openxmlformats.org/officeDocument/2006/relationships/hyperlink" Id="rId132" Target="https://doi.org/10.1016/j.foreco.2005.01.034" TargetMode="External" /><Relationship Type="http://schemas.openxmlformats.org/officeDocument/2006/relationships/hyperlink" Id="rId266" Target="https://doi.org/10.1016/j.foreco.2007.03.062" TargetMode="External" /><Relationship Type="http://schemas.openxmlformats.org/officeDocument/2006/relationships/hyperlink" Id="rId301" Target="https://doi.org/10.1016/j.foreco.2008.01.025" TargetMode="External" /><Relationship Type="http://schemas.openxmlformats.org/officeDocument/2006/relationships/hyperlink" Id="rId138" Target="https://doi.org/10.1016/j.foreco.2008.11.028" TargetMode="External" /><Relationship Type="http://schemas.openxmlformats.org/officeDocument/2006/relationships/hyperlink" Id="rId232" Target="https://doi.org/10.1016/j.foreco.2009.07.008" TargetMode="External" /><Relationship Type="http://schemas.openxmlformats.org/officeDocument/2006/relationships/hyperlink" Id="rId222" Target="https://doi.org/10.1016/j.foreco.2010.02.022" TargetMode="External" /><Relationship Type="http://schemas.openxmlformats.org/officeDocument/2006/relationships/hyperlink" Id="rId289" Target="https://doi.org/10.1016/j.foreco.2012.08.030" TargetMode="External" /><Relationship Type="http://schemas.openxmlformats.org/officeDocument/2006/relationships/hyperlink" Id="rId283" Target="https://doi.org/10.1016/j.foreco.2013.04.015" TargetMode="External" /><Relationship Type="http://schemas.openxmlformats.org/officeDocument/2006/relationships/hyperlink" Id="rId216" Target="https://doi.org/10.1016/j.foreco.2014.01.045" TargetMode="External" /><Relationship Type="http://schemas.openxmlformats.org/officeDocument/2006/relationships/hyperlink" Id="rId176" Target="https://doi.org/10.1016/j.foreco.2014.06.025" TargetMode="External" /><Relationship Type="http://schemas.openxmlformats.org/officeDocument/2006/relationships/hyperlink" Id="rId294" Target="https://doi.org/10.1016/j.foreco.2016.05.018" TargetMode="External" /><Relationship Type="http://schemas.openxmlformats.org/officeDocument/2006/relationships/hyperlink" Id="rId161" Target="https://doi.org/10.1016/j.foreco.2016.09.010" TargetMode="External" /><Relationship Type="http://schemas.openxmlformats.org/officeDocument/2006/relationships/hyperlink" Id="rId268" Target="https://doi.org/10.1016/j.foreco.2021.119361" TargetMode="External" /><Relationship Type="http://schemas.openxmlformats.org/officeDocument/2006/relationships/hyperlink" Id="rId249" Target="https://doi.org/10.1016/j.foreco.2022.120136" TargetMode="External" /><Relationship Type="http://schemas.openxmlformats.org/officeDocument/2006/relationships/hyperlink" Id="rId245" Target="https://doi.org/10.1016/j.foreco.2022.120236" TargetMode="External" /><Relationship Type="http://schemas.openxmlformats.org/officeDocument/2006/relationships/hyperlink" Id="rId159" Target="https://doi.org/10.1016/j.foreco.2022.120353" TargetMode="External" /><Relationship Type="http://schemas.openxmlformats.org/officeDocument/2006/relationships/hyperlink" Id="rId299" Target="https://doi.org/10.1016/j.foreco.2022.120602" TargetMode="External" /><Relationship Type="http://schemas.openxmlformats.org/officeDocument/2006/relationships/hyperlink" Id="rId182" Target="https://doi.org/10.1023/A:1006502107495" TargetMode="External" /><Relationship Type="http://schemas.openxmlformats.org/officeDocument/2006/relationships/hyperlink" Id="rId271" Target="https://doi.org/10.1029/2020GL089858" TargetMode="External" /><Relationship Type="http://schemas.openxmlformats.org/officeDocument/2006/relationships/hyperlink" Id="rId209" Target="https://doi.org/10.1071/wf01028" TargetMode="External" /><Relationship Type="http://schemas.openxmlformats.org/officeDocument/2006/relationships/hyperlink" Id="rId286" Target="https://doi.org/10.1093/forestry/75.4.329" TargetMode="External" /><Relationship Type="http://schemas.openxmlformats.org/officeDocument/2006/relationships/hyperlink" Id="rId260" Target="https://doi.org/10.1093/forestry/75.4.339" TargetMode="External" /><Relationship Type="http://schemas.openxmlformats.org/officeDocument/2006/relationships/hyperlink" Id="rId275" Target="https://doi.org/10.1093/forestscience/16.3.339" TargetMode="External" /><Relationship Type="http://schemas.openxmlformats.org/officeDocument/2006/relationships/hyperlink" Id="rId152" Target="https://doi.org/10.1093/forsci/fxaa031" TargetMode="External" /><Relationship Type="http://schemas.openxmlformats.org/officeDocument/2006/relationships/hyperlink" Id="rId218" Target="https://doi.org/10.1093/jof/38.9.729" TargetMode="External" /><Relationship Type="http://schemas.openxmlformats.org/officeDocument/2006/relationships/hyperlink" Id="rId256" Target="https://doi.org/10.1093/jof/96.7.4a" TargetMode="External" /><Relationship Type="http://schemas.openxmlformats.org/officeDocument/2006/relationships/hyperlink" Id="rId254" Target="https://doi.org/10.1093/jofore/fvab026" TargetMode="External" /><Relationship Type="http://schemas.openxmlformats.org/officeDocument/2006/relationships/hyperlink" Id="rId312" Target="https://doi.org/10.1093/wjaf/12.1.21" TargetMode="External" /><Relationship Type="http://schemas.openxmlformats.org/officeDocument/2006/relationships/hyperlink" Id="rId146" Target="https://doi.org/10.1093/wjaf/24.1.24" TargetMode="External" /><Relationship Type="http://schemas.openxmlformats.org/officeDocument/2006/relationships/hyperlink" Id="rId193" Target="https://doi.org/10.1093/wjaf/7.4.103" TargetMode="External" /><Relationship Type="http://schemas.openxmlformats.org/officeDocument/2006/relationships/hyperlink" Id="rId307" Target="https://doi.org/10.1098/rstb.2015.0178" TargetMode="External" /><Relationship Type="http://schemas.openxmlformats.org/officeDocument/2006/relationships/hyperlink" Id="rId163" Target="https://doi.org/10.1111/rec.12681" TargetMode="External" /><Relationship Type="http://schemas.openxmlformats.org/officeDocument/2006/relationships/hyperlink" Id="rId144" Target="https://doi.org/10.1139/X06-271" TargetMode="External" /><Relationship Type="http://schemas.openxmlformats.org/officeDocument/2006/relationships/hyperlink" Id="rId207" Target="https://doi.org/10.1139/X08-003" TargetMode="External" /><Relationship Type="http://schemas.openxmlformats.org/officeDocument/2006/relationships/hyperlink" Id="rId165" Target="https://doi.org/10.1139/cjfr-2022-0214" TargetMode="External" /><Relationship Type="http://schemas.openxmlformats.org/officeDocument/2006/relationships/hyperlink" Id="rId186" Target="https://doi.org/10.1139/x06-206" TargetMode="External" /><Relationship Type="http://schemas.openxmlformats.org/officeDocument/2006/relationships/hyperlink" Id="rId169" Target="https://doi.org/10.1139/x26-066" TargetMode="External" /><Relationship Type="http://schemas.openxmlformats.org/officeDocument/2006/relationships/hyperlink" Id="rId273" Target="https://doi.org/10.1139/x93-073" TargetMode="External" /><Relationship Type="http://schemas.openxmlformats.org/officeDocument/2006/relationships/hyperlink" Id="rId172" Target="https://doi.org/10.1139/x93-143" TargetMode="External" /><Relationship Type="http://schemas.openxmlformats.org/officeDocument/2006/relationships/hyperlink" Id="rId142" Target="https://doi.org/10.1186/s13717-019-0181-9" TargetMode="External" /><Relationship Type="http://schemas.openxmlformats.org/officeDocument/2006/relationships/hyperlink" Id="rId136" Target="https://doi.org/10.18637/jss.v111.i09" TargetMode="External" /><Relationship Type="http://schemas.openxmlformats.org/officeDocument/2006/relationships/hyperlink" Id="rId279"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235" Target="https://doi.org/10.2737/RMRS-RP-103" TargetMode="External" /><Relationship Type="http://schemas.openxmlformats.org/officeDocument/2006/relationships/hyperlink" Id="rId156" Target="https://doi.org/10.32614/RJ-2017-066" TargetMode="External" /><Relationship Type="http://schemas.openxmlformats.org/officeDocument/2006/relationships/hyperlink" Id="rId310" Target="https://doi.org/10.3390/f16061000" TargetMode="External" /><Relationship Type="http://schemas.openxmlformats.org/officeDocument/2006/relationships/hyperlink" Id="rId264" Target="https://doi.org/10.3390/f8050144" TargetMode="External" /><Relationship Type="http://schemas.openxmlformats.org/officeDocument/2006/relationships/hyperlink" Id="rId281" Target="https://doi.org/10.3390/su152316409" TargetMode="External" /><Relationship Type="http://schemas.openxmlformats.org/officeDocument/2006/relationships/hyperlink" Id="rId241" Target="https://doi.org/10.5558/tfc78397-3" TargetMode="External" /><Relationship Type="http://schemas.openxmlformats.org/officeDocument/2006/relationships/hyperlink" Id="rId220" Target="https://doi.org/10.5849/FS-2016-029R2" TargetMode="External" /><Relationship Type="http://schemas.openxmlformats.org/officeDocument/2006/relationships/hyperlink" Id="rId291" Target="https://esajournals.onlinelibrary.wiley.com/doi/full/10.1890/07-1755.1" TargetMode="External" /><Relationship Type="http://schemas.openxmlformats.org/officeDocument/2006/relationships/hyperlink" Id="rId237" Target="https://ir.library.oregonstate.edu/downloads/70795d72s" TargetMode="External" /><Relationship Type="http://schemas.openxmlformats.org/officeDocument/2006/relationships/hyperlink" Id="rId184" Target="https://scholarworks.calstate.edu/concern/theses/ws859j014" TargetMode="External" /><Relationship Type="http://schemas.openxmlformats.org/officeDocument/2006/relationships/hyperlink" Id="rId189" Target="https://www.elibrary.ru/item.asp?id=7397149" TargetMode="External" /><Relationship Type="http://schemas.openxmlformats.org/officeDocument/2006/relationships/hyperlink" Id="rId197" Target="https://www.frontiersin.org/articles/10.3389/ffgc.2020.00078" TargetMode="External" /><Relationship Type="http://schemas.openxmlformats.org/officeDocument/2006/relationships/hyperlink" Id="rId178" Target="https://www.fs.usda.gov/database/feis/plants/tree/notden/all.html" TargetMode="External" /><Relationship Type="http://schemas.openxmlformats.org/officeDocument/2006/relationships/hyperlink" Id="rId247" Target="https://www.fs.usda.gov/research/treesearch/37978" TargetMode="External" /><Relationship Type="http://schemas.openxmlformats.org/officeDocument/2006/relationships/hyperlink" Id="rId303" Target="https://www.fs.usda.gov/research/treesearch/41828" TargetMode="External" /><Relationship Type="http://schemas.openxmlformats.org/officeDocument/2006/relationships/hyperlink" Id="rId148" Target="https://www.fs.usda.gov/treesearch/pubs/55449" TargetMode="External" /><Relationship Type="http://schemas.openxmlformats.org/officeDocument/2006/relationships/hyperlink" Id="rId277" Target="https://www.fs.usda.gov/treesearch/pubs/60134" TargetMode="External" /><Relationship Type="http://schemas.openxmlformats.org/officeDocument/2006/relationships/hyperlink" Id="rId228" Target="https://www.google.com/books/edition/Sprout_Regeneration_of_Young_growth_Redw/48fMLtW9rRgC" TargetMode="External" /><Relationship Type="http://schemas.openxmlformats.org/officeDocument/2006/relationships/hyperlink" Id="rId199" Target="https://www.jstor.org/stable/41425288" TargetMode="External" /><Relationship Type="http://schemas.openxmlformats.org/officeDocument/2006/relationships/hyperlink" Id="rId191"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305" Target="http://hilgardia.ucanr.edu/Abstract/?a=hilg.v54n08p017" TargetMode="External" /><Relationship Type="http://schemas.openxmlformats.org/officeDocument/2006/relationships/hyperlink" Id="rId195" Target="https://CRAN.R-project.org/package=DHARMa" TargetMode="External" /><Relationship Type="http://schemas.openxmlformats.org/officeDocument/2006/relationships/hyperlink" Id="rId224" Target="https://CRAN.R-project.org/package=emmeans" TargetMode="External" /><Relationship Type="http://schemas.openxmlformats.org/officeDocument/2006/relationships/hyperlink" Id="rId201" Target="https://academic.oup.com/jof/article-abstract/83/8/494/4647048" TargetMode="External" /><Relationship Type="http://schemas.openxmlformats.org/officeDocument/2006/relationships/hyperlink" Id="rId203" Target="https://books.google.com?id=x3tw07l1IQQC" TargetMode="External" /><Relationship Type="http://schemas.openxmlformats.org/officeDocument/2006/relationships/hyperlink" Id="rId230" Target="https://catalog.hathitrust.org/Record/010837951" TargetMode="External" /><Relationship Type="http://schemas.openxmlformats.org/officeDocument/2006/relationships/hyperlink" Id="rId243" Target="https://digitalcommons.humboldt.edu/etd/269" TargetMode="External" /><Relationship Type="http://schemas.openxmlformats.org/officeDocument/2006/relationships/hyperlink" Id="rId251" Target="https://doi.org/10.1002/ece3.3737" TargetMode="External" /><Relationship Type="http://schemas.openxmlformats.org/officeDocument/2006/relationships/hyperlink" Id="rId314" Target="https://doi.org/10.1007/978-3-319-51727-8_13-1" TargetMode="External" /><Relationship Type="http://schemas.openxmlformats.org/officeDocument/2006/relationships/hyperlink" Id="rId167" Target="https://doi.org/10.1007/BF02858075" TargetMode="External" /><Relationship Type="http://schemas.openxmlformats.org/officeDocument/2006/relationships/hyperlink" Id="rId226" Target="https://doi.org/10.1007/s00442-002-0986-5" TargetMode="External" /><Relationship Type="http://schemas.openxmlformats.org/officeDocument/2006/relationships/hyperlink" Id="rId262" Target="https://doi.org/10.1007/s10310-009-0166-0" TargetMode="External" /><Relationship Type="http://schemas.openxmlformats.org/officeDocument/2006/relationships/hyperlink" Id="rId297" Target="https://doi.org/10.1007/s10530-017-1443-z" TargetMode="External" /><Relationship Type="http://schemas.openxmlformats.org/officeDocument/2006/relationships/hyperlink" Id="rId211" Target="https://doi.org/10.1007/s10980-012-9773-9" TargetMode="External" /><Relationship Type="http://schemas.openxmlformats.org/officeDocument/2006/relationships/hyperlink" Id="rId214" Target="https://doi.org/10.1007/s11056-015-9470-z" TargetMode="External" /><Relationship Type="http://schemas.openxmlformats.org/officeDocument/2006/relationships/hyperlink" Id="rId150" Target="https://doi.org/10.1007/s11056-018-9636-6" TargetMode="External" /><Relationship Type="http://schemas.openxmlformats.org/officeDocument/2006/relationships/hyperlink" Id="rId258" Target="https://doi.org/10.1016/S0378-1127(00)00698-8" TargetMode="External" /><Relationship Type="http://schemas.openxmlformats.org/officeDocument/2006/relationships/hyperlink" Id="rId205" Target="https://doi.org/10.1016/j.agrformet.2021.108602" TargetMode="External" /><Relationship Type="http://schemas.openxmlformats.org/officeDocument/2006/relationships/hyperlink" Id="rId132" Target="https://doi.org/10.1016/j.foreco.2005.01.034" TargetMode="External" /><Relationship Type="http://schemas.openxmlformats.org/officeDocument/2006/relationships/hyperlink" Id="rId266" Target="https://doi.org/10.1016/j.foreco.2007.03.062" TargetMode="External" /><Relationship Type="http://schemas.openxmlformats.org/officeDocument/2006/relationships/hyperlink" Id="rId301" Target="https://doi.org/10.1016/j.foreco.2008.01.025" TargetMode="External" /><Relationship Type="http://schemas.openxmlformats.org/officeDocument/2006/relationships/hyperlink" Id="rId138" Target="https://doi.org/10.1016/j.foreco.2008.11.028" TargetMode="External" /><Relationship Type="http://schemas.openxmlformats.org/officeDocument/2006/relationships/hyperlink" Id="rId232" Target="https://doi.org/10.1016/j.foreco.2009.07.008" TargetMode="External" /><Relationship Type="http://schemas.openxmlformats.org/officeDocument/2006/relationships/hyperlink" Id="rId222" Target="https://doi.org/10.1016/j.foreco.2010.02.022" TargetMode="External" /><Relationship Type="http://schemas.openxmlformats.org/officeDocument/2006/relationships/hyperlink" Id="rId289" Target="https://doi.org/10.1016/j.foreco.2012.08.030" TargetMode="External" /><Relationship Type="http://schemas.openxmlformats.org/officeDocument/2006/relationships/hyperlink" Id="rId283" Target="https://doi.org/10.1016/j.foreco.2013.04.015" TargetMode="External" /><Relationship Type="http://schemas.openxmlformats.org/officeDocument/2006/relationships/hyperlink" Id="rId216" Target="https://doi.org/10.1016/j.foreco.2014.01.045" TargetMode="External" /><Relationship Type="http://schemas.openxmlformats.org/officeDocument/2006/relationships/hyperlink" Id="rId176" Target="https://doi.org/10.1016/j.foreco.2014.06.025" TargetMode="External" /><Relationship Type="http://schemas.openxmlformats.org/officeDocument/2006/relationships/hyperlink" Id="rId294" Target="https://doi.org/10.1016/j.foreco.2016.05.018" TargetMode="External" /><Relationship Type="http://schemas.openxmlformats.org/officeDocument/2006/relationships/hyperlink" Id="rId161" Target="https://doi.org/10.1016/j.foreco.2016.09.010" TargetMode="External" /><Relationship Type="http://schemas.openxmlformats.org/officeDocument/2006/relationships/hyperlink" Id="rId268" Target="https://doi.org/10.1016/j.foreco.2021.119361" TargetMode="External" /><Relationship Type="http://schemas.openxmlformats.org/officeDocument/2006/relationships/hyperlink" Id="rId249" Target="https://doi.org/10.1016/j.foreco.2022.120136" TargetMode="External" /><Relationship Type="http://schemas.openxmlformats.org/officeDocument/2006/relationships/hyperlink" Id="rId245" Target="https://doi.org/10.1016/j.foreco.2022.120236" TargetMode="External" /><Relationship Type="http://schemas.openxmlformats.org/officeDocument/2006/relationships/hyperlink" Id="rId159" Target="https://doi.org/10.1016/j.foreco.2022.120353" TargetMode="External" /><Relationship Type="http://schemas.openxmlformats.org/officeDocument/2006/relationships/hyperlink" Id="rId299" Target="https://doi.org/10.1016/j.foreco.2022.120602" TargetMode="External" /><Relationship Type="http://schemas.openxmlformats.org/officeDocument/2006/relationships/hyperlink" Id="rId182" Target="https://doi.org/10.1023/A:1006502107495" TargetMode="External" /><Relationship Type="http://schemas.openxmlformats.org/officeDocument/2006/relationships/hyperlink" Id="rId271" Target="https://doi.org/10.1029/2020GL089858" TargetMode="External" /><Relationship Type="http://schemas.openxmlformats.org/officeDocument/2006/relationships/hyperlink" Id="rId209" Target="https://doi.org/10.1071/wf01028" TargetMode="External" /><Relationship Type="http://schemas.openxmlformats.org/officeDocument/2006/relationships/hyperlink" Id="rId286" Target="https://doi.org/10.1093/forestry/75.4.329" TargetMode="External" /><Relationship Type="http://schemas.openxmlformats.org/officeDocument/2006/relationships/hyperlink" Id="rId260" Target="https://doi.org/10.1093/forestry/75.4.339" TargetMode="External" /><Relationship Type="http://schemas.openxmlformats.org/officeDocument/2006/relationships/hyperlink" Id="rId275" Target="https://doi.org/10.1093/forestscience/16.3.339" TargetMode="External" /><Relationship Type="http://schemas.openxmlformats.org/officeDocument/2006/relationships/hyperlink" Id="rId152" Target="https://doi.org/10.1093/forsci/fxaa031" TargetMode="External" /><Relationship Type="http://schemas.openxmlformats.org/officeDocument/2006/relationships/hyperlink" Id="rId218" Target="https://doi.org/10.1093/jof/38.9.729" TargetMode="External" /><Relationship Type="http://schemas.openxmlformats.org/officeDocument/2006/relationships/hyperlink" Id="rId256" Target="https://doi.org/10.1093/jof/96.7.4a" TargetMode="External" /><Relationship Type="http://schemas.openxmlformats.org/officeDocument/2006/relationships/hyperlink" Id="rId254" Target="https://doi.org/10.1093/jofore/fvab026" TargetMode="External" /><Relationship Type="http://schemas.openxmlformats.org/officeDocument/2006/relationships/hyperlink" Id="rId312" Target="https://doi.org/10.1093/wjaf/12.1.21" TargetMode="External" /><Relationship Type="http://schemas.openxmlformats.org/officeDocument/2006/relationships/hyperlink" Id="rId146" Target="https://doi.org/10.1093/wjaf/24.1.24" TargetMode="External" /><Relationship Type="http://schemas.openxmlformats.org/officeDocument/2006/relationships/hyperlink" Id="rId193" Target="https://doi.org/10.1093/wjaf/7.4.103" TargetMode="External" /><Relationship Type="http://schemas.openxmlformats.org/officeDocument/2006/relationships/hyperlink" Id="rId307" Target="https://doi.org/10.1098/rstb.2015.0178" TargetMode="External" /><Relationship Type="http://schemas.openxmlformats.org/officeDocument/2006/relationships/hyperlink" Id="rId163" Target="https://doi.org/10.1111/rec.12681" TargetMode="External" /><Relationship Type="http://schemas.openxmlformats.org/officeDocument/2006/relationships/hyperlink" Id="rId144" Target="https://doi.org/10.1139/X06-271" TargetMode="External" /><Relationship Type="http://schemas.openxmlformats.org/officeDocument/2006/relationships/hyperlink" Id="rId207" Target="https://doi.org/10.1139/X08-003" TargetMode="External" /><Relationship Type="http://schemas.openxmlformats.org/officeDocument/2006/relationships/hyperlink" Id="rId165" Target="https://doi.org/10.1139/cjfr-2022-0214" TargetMode="External" /><Relationship Type="http://schemas.openxmlformats.org/officeDocument/2006/relationships/hyperlink" Id="rId186" Target="https://doi.org/10.1139/x06-206" TargetMode="External" /><Relationship Type="http://schemas.openxmlformats.org/officeDocument/2006/relationships/hyperlink" Id="rId169" Target="https://doi.org/10.1139/x26-066" TargetMode="External" /><Relationship Type="http://schemas.openxmlformats.org/officeDocument/2006/relationships/hyperlink" Id="rId273" Target="https://doi.org/10.1139/x93-073" TargetMode="External" /><Relationship Type="http://schemas.openxmlformats.org/officeDocument/2006/relationships/hyperlink" Id="rId172" Target="https://doi.org/10.1139/x93-143" TargetMode="External" /><Relationship Type="http://schemas.openxmlformats.org/officeDocument/2006/relationships/hyperlink" Id="rId142" Target="https://doi.org/10.1186/s13717-019-0181-9" TargetMode="External" /><Relationship Type="http://schemas.openxmlformats.org/officeDocument/2006/relationships/hyperlink" Id="rId136" Target="https://doi.org/10.18637/jss.v111.i09" TargetMode="External" /><Relationship Type="http://schemas.openxmlformats.org/officeDocument/2006/relationships/hyperlink" Id="rId279"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235" Target="https://doi.org/10.2737/RMRS-RP-103" TargetMode="External" /><Relationship Type="http://schemas.openxmlformats.org/officeDocument/2006/relationships/hyperlink" Id="rId156" Target="https://doi.org/10.32614/RJ-2017-066" TargetMode="External" /><Relationship Type="http://schemas.openxmlformats.org/officeDocument/2006/relationships/hyperlink" Id="rId310" Target="https://doi.org/10.3390/f16061000" TargetMode="External" /><Relationship Type="http://schemas.openxmlformats.org/officeDocument/2006/relationships/hyperlink" Id="rId264" Target="https://doi.org/10.3390/f8050144" TargetMode="External" /><Relationship Type="http://schemas.openxmlformats.org/officeDocument/2006/relationships/hyperlink" Id="rId281" Target="https://doi.org/10.3390/su152316409" TargetMode="External" /><Relationship Type="http://schemas.openxmlformats.org/officeDocument/2006/relationships/hyperlink" Id="rId241" Target="https://doi.org/10.5558/tfc78397-3" TargetMode="External" /><Relationship Type="http://schemas.openxmlformats.org/officeDocument/2006/relationships/hyperlink" Id="rId220" Target="https://doi.org/10.5849/FS-2016-029R2" TargetMode="External" /><Relationship Type="http://schemas.openxmlformats.org/officeDocument/2006/relationships/hyperlink" Id="rId291" Target="https://esajournals.onlinelibrary.wiley.com/doi/full/10.1890/07-1755.1" TargetMode="External" /><Relationship Type="http://schemas.openxmlformats.org/officeDocument/2006/relationships/hyperlink" Id="rId237" Target="https://ir.library.oregonstate.edu/downloads/70795d72s" TargetMode="External" /><Relationship Type="http://schemas.openxmlformats.org/officeDocument/2006/relationships/hyperlink" Id="rId184" Target="https://scholarworks.calstate.edu/concern/theses/ws859j014" TargetMode="External" /><Relationship Type="http://schemas.openxmlformats.org/officeDocument/2006/relationships/hyperlink" Id="rId189" Target="https://www.elibrary.ru/item.asp?id=7397149" TargetMode="External" /><Relationship Type="http://schemas.openxmlformats.org/officeDocument/2006/relationships/hyperlink" Id="rId197" Target="https://www.frontiersin.org/articles/10.3389/ffgc.2020.00078" TargetMode="External" /><Relationship Type="http://schemas.openxmlformats.org/officeDocument/2006/relationships/hyperlink" Id="rId178" Target="https://www.fs.usda.gov/database/feis/plants/tree/notden/all.html" TargetMode="External" /><Relationship Type="http://schemas.openxmlformats.org/officeDocument/2006/relationships/hyperlink" Id="rId247" Target="https://www.fs.usda.gov/research/treesearch/37978" TargetMode="External" /><Relationship Type="http://schemas.openxmlformats.org/officeDocument/2006/relationships/hyperlink" Id="rId303" Target="https://www.fs.usda.gov/research/treesearch/41828" TargetMode="External" /><Relationship Type="http://schemas.openxmlformats.org/officeDocument/2006/relationships/hyperlink" Id="rId148" Target="https://www.fs.usda.gov/treesearch/pubs/55449" TargetMode="External" /><Relationship Type="http://schemas.openxmlformats.org/officeDocument/2006/relationships/hyperlink" Id="rId277" Target="https://www.fs.usda.gov/treesearch/pubs/60134" TargetMode="External" /><Relationship Type="http://schemas.openxmlformats.org/officeDocument/2006/relationships/hyperlink" Id="rId228" Target="https://www.google.com/books/edition/Sprout_Regeneration_of_Young_growth_Redw/48fMLtW9rRgC" TargetMode="External" /><Relationship Type="http://schemas.openxmlformats.org/officeDocument/2006/relationships/hyperlink" Id="rId199" Target="https://www.jstor.org/stable/41425288" TargetMode="External" /><Relationship Type="http://schemas.openxmlformats.org/officeDocument/2006/relationships/hyperlink" Id="rId191"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2026-01-16T21:33:13Z</dcterms:created>
  <dcterms:modified xsi:type="dcterms:W3CDTF">2026-01-16T21:33:13Z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January 16, 2026</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